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E186" w14:textId="77777777" w:rsidR="00BC2FDC" w:rsidRDefault="00090423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ОТЧЕТ О ДОХОДАХ И РАСХОДАХ </w:t>
      </w:r>
    </w:p>
    <w:p w14:paraId="2AF52654" w14:textId="6E2215A4" w:rsidR="00090423" w:rsidRPr="00E80A9C" w:rsidRDefault="00BC2FDC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по итогам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202</w:t>
      </w:r>
      <w:r w:rsidR="003208B3">
        <w:rPr>
          <w:rFonts w:ascii="Times New Roman" w:eastAsia="Times New Roman" w:hAnsi="Times New Roman" w:cs="Times New Roman"/>
          <w:color w:val="191919"/>
          <w:sz w:val="48"/>
          <w:szCs w:val="48"/>
          <w:lang w:val="kk-KZ" w:eastAsia="ru-RU"/>
        </w:rPr>
        <w:t>4</w:t>
      </w:r>
      <w:r w:rsidR="00E80A9C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года</w:t>
      </w:r>
    </w:p>
    <w:p w14:paraId="7F9C8764" w14:textId="51A61BC4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  <w:t> </w:t>
      </w:r>
      <w:r w:rsidR="00E93935" w:rsidRPr="00E93935">
        <w:drawing>
          <wp:inline distT="0" distB="0" distL="0" distR="0" wp14:anchorId="1ED2144F" wp14:editId="567B9879">
            <wp:extent cx="5940425" cy="74142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A365" w14:textId="77777777" w:rsidR="00793C1D" w:rsidRDefault="00793C1D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26A1B521" w14:textId="77777777" w:rsidR="00C72C3B" w:rsidRDefault="00C72C3B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4D09B544" w14:textId="21146635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Пояснительная записка</w:t>
      </w:r>
    </w:p>
    <w:p w14:paraId="087BE0FA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1372802F" w14:textId="63321D21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 отчету «О доходах и расходах </w:t>
      </w:r>
      <w:r w:rsidR="00204BF4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по итогам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B46B4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</w:t>
      </w:r>
      <w:r w:rsidR="0035421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а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</w:t>
      </w:r>
    </w:p>
    <w:p w14:paraId="2AAC48BE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E6F674F" w14:textId="06DEC2DD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ГКП на ПХВ «Городская поликлиника №</w:t>
      </w:r>
      <w:r w:rsidR="0084581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21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 УЗ г.Алматы</w:t>
      </w:r>
    </w:p>
    <w:p w14:paraId="02DB03B7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72A37EF" w14:textId="0E91C5C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г.Алматы</w:t>
      </w:r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 </w:t>
      </w:r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п.Кокжиек, 66</w:t>
      </w:r>
    </w:p>
    <w:p w14:paraId="19B08500" w14:textId="753B5BE1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23EB0BD2" w14:textId="75ED32C5" w:rsidR="00090423" w:rsidRPr="000F12B9" w:rsidRDefault="00090423" w:rsidP="0034755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I.Доходы </w:t>
      </w:r>
      <w:r w:rsidR="00A2210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B46B4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года составляет 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2 290 996,21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тенге, из них:</w:t>
      </w:r>
    </w:p>
    <w:p w14:paraId="7BA3ABF2" w14:textId="2BE13D68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государственный заказ из Республиканского бюджета 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1 746 277,58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 ( 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в т.ч. поступление авансов по договорам )</w:t>
      </w:r>
    </w:p>
    <w:p w14:paraId="510855DA" w14:textId="34C915C1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доходы от оказани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я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платных услуг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9 066,80</w:t>
      </w:r>
      <w:r w:rsidR="00BF21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B228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B3F20ED" w14:textId="4B262DF1" w:rsidR="00B46B42" w:rsidRDefault="00B46B42" w:rsidP="008C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прочие поступления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535 651,83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 (гарантийн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взнос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3 084,07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в</w:t>
      </w:r>
      <w:r w:rsidR="00526693" w:rsidRP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озмещение денежных средств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2 181,25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возмещение коммунальных услуг подрядчиками – 945,60 тыс.тенге, 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</w:t>
      </w:r>
      <w:r w:rsidR="00526693" w:rsidRP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оступление на капитальный ремонт зданий/помещений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473 062,24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п</w:t>
      </w:r>
      <w:r w:rsidR="00A24A3A" w:rsidRP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оступление на приобретение оборудования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-55 632,33 тыс.тенге, п</w:t>
      </w:r>
      <w:r w:rsidR="00A24A3A" w:rsidRP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оступления по страховому полису</w:t>
      </w:r>
      <w:r w:rsidR="00A24A3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584,17 тыс.тенге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)</w:t>
      </w:r>
      <w:r w:rsidR="00B657C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47D27E9C" w14:textId="77777777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42D38C68" w14:textId="35906E0D" w:rsidR="00347557" w:rsidRPr="000F12B9" w:rsidRDefault="00090423" w:rsidP="000F12B9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II.Расходы 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по итогам 202</w:t>
      </w:r>
      <w:r w:rsidR="003A64CA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4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года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составляет </w:t>
      </w:r>
      <w:r w:rsidR="002D2A2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2 309 567,94</w:t>
      </w:r>
      <w:r w:rsidR="007962A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</w:p>
    <w:p w14:paraId="05DE0BF3" w14:textId="2B4BFBF7" w:rsidR="00090423" w:rsidRPr="003C20E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 по фонду оплаты труда на содержание 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</w:t>
      </w:r>
      <w:r w:rsidR="00560D1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71</w:t>
      </w:r>
      <w:r w:rsidR="00D5435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,0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штатных единиц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2D2A2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1 069 279,77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с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редняя заработная плата врачей составляет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568 942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средняя заработная плата среднего медицинского персонала составляет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286 295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младшего медицинского персонала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165 043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прочего персонала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453 547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тенге. </w:t>
      </w:r>
    </w:p>
    <w:p w14:paraId="327D2A8B" w14:textId="516B1895" w:rsidR="00090423" w:rsidRPr="00202E1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Социальный налог и социальные отчисления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бязательные социальные медицинские страхования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обязательные пенсионные взносы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работодателя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составляют </w:t>
      </w:r>
      <w:r w:rsidR="002D2A2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129 026,02</w:t>
      </w:r>
      <w:r w:rsidRPr="00202E18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347557"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0D105020" w14:textId="16CD0854" w:rsidR="00347557" w:rsidRPr="000F12B9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Налог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и </w:t>
      </w:r>
      <w:r w:rsidR="002D2A2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3 356,95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из них: </w:t>
      </w:r>
    </w:p>
    <w:p w14:paraId="3D6E0457" w14:textId="583984E4" w:rsidR="003C20E8" w:rsidRDefault="00347557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Земельный налог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2D2A2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8,99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276CDFD5" w14:textId="39A288D3" w:rsidR="006E0664" w:rsidRPr="003C20E8" w:rsidRDefault="003C20E8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г на </w:t>
      </w:r>
      <w:r w:rsidR="00090423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имущество </w:t>
      </w:r>
      <w:r w:rsidR="00202E1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–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2D2A2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421,44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53E5B94A" w14:textId="392E23DA" w:rsidR="00090423" w:rsidRDefault="006E0664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Эмиссия окружающей среды – </w:t>
      </w:r>
      <w:r w:rsidR="002D2A2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23,9</w:t>
      </w:r>
      <w:r w:rsidRP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29FABCC0" w14:textId="4DC3401F" w:rsidR="002D2A28" w:rsidRPr="002D2A28" w:rsidRDefault="002D2A28" w:rsidP="002D2A2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Налог на транспортные средства – 112,53 тыс.тенге,</w:t>
      </w:r>
    </w:p>
    <w:p w14:paraId="671CC188" w14:textId="6B476486" w:rsidR="00B62715" w:rsidRDefault="00B62715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Прочие налоги – </w:t>
      </w:r>
      <w:r w:rsidR="002D2A2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2 790,1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3664DB93" w14:textId="13ACE9AD" w:rsidR="006E0664" w:rsidRPr="00015BE8" w:rsidRDefault="00090423" w:rsidP="00015B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Коммунальные расходы 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–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9 682,08</w:t>
      </w:r>
      <w:r w:rsidR="006E0664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из них:</w:t>
      </w:r>
    </w:p>
    <w:p w14:paraId="4DDA63D3" w14:textId="6B2A757E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Э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лектроэнерги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я –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3 694,83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A080EB7" w14:textId="76F33BCF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Х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олодн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ая вода и канализация –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445,67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63ABE97C" w14:textId="02B8E974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Отопление, 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горячей и химической воде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5 541,58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246B3773" w14:textId="13B387CE" w:rsidR="006E0664" w:rsidRPr="000F12B9" w:rsidRDefault="006E0664" w:rsidP="00386749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Проводятся работы по снижению расходов коммунальных услуг, а именно поэтапно заменяются лампы на энергосберегающие лампы, согласно заключению энергоаудита.</w:t>
      </w:r>
    </w:p>
    <w:p w14:paraId="696D9358" w14:textId="6F072139" w:rsidR="006E0664" w:rsidRDefault="006E0664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Услуги связи –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3 193,76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тыс.тенге,</w:t>
      </w:r>
    </w:p>
    <w:p w14:paraId="48E502A9" w14:textId="2690A408" w:rsidR="00BC3C4C" w:rsidRDefault="00BC3C4C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Командировочные расходы – 37,15 тыс.тенге,</w:t>
      </w:r>
    </w:p>
    <w:p w14:paraId="36FADCE4" w14:textId="2DA6C6BE" w:rsidR="00386749" w:rsidRDefault="00386749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Расходы на приобретение детского питания (смесь) составляет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7 953,78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7223389E" w14:textId="6374952E" w:rsidR="00C127AF" w:rsidRPr="000F12B9" w:rsidRDefault="00C127AF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Расходы на детское специализированное питание ФКУ – 44 412,53 тыс.тенге,</w:t>
      </w:r>
      <w:bookmarkStart w:id="0" w:name="_GoBack"/>
      <w:bookmarkEnd w:id="0"/>
    </w:p>
    <w:p w14:paraId="00ED8671" w14:textId="236CA044" w:rsidR="002B4B4A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 на приобретение медикаментов</w:t>
      </w:r>
      <w:r w:rsidR="00E2759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="0038674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зделий медицинского назначения составляет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57 831,85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тенге.</w:t>
      </w:r>
    </w:p>
    <w:p w14:paraId="780B0DFC" w14:textId="18CF0C61" w:rsidR="00015BE8" w:rsidRDefault="0082469B" w:rsidP="00E856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Приобретения основных средств и прочего оборудования – </w:t>
      </w:r>
      <w:r w:rsidR="00015BE8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56 647,62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15BE8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, из них: 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средства УОЗ г.Алматы – 55 632,33 тыс.тенге, собственные средства – 1 015,29 тыс.тенге.</w:t>
      </w:r>
    </w:p>
    <w:p w14:paraId="234D54FA" w14:textId="283AE61E" w:rsidR="00090423" w:rsidRPr="00015BE8" w:rsidRDefault="00090423" w:rsidP="00015B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Приобретение хоз. товаров   и инвентаря составляет </w:t>
      </w:r>
      <w:r w:rsidR="00015BE8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21 009,90</w:t>
      </w:r>
      <w:r w:rsidRPr="00015BE8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FF6ECD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,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 том числе: </w:t>
      </w:r>
      <w:r w:rsidR="00FB79A3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дезинфицирующие средства, 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канцелярские товары,  моющие средства, запасные части для оргтехники, хоз инвентарь для нужд отделений )</w:t>
      </w:r>
      <w:r w:rsidR="00FF6ECD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6D89DA44" w14:textId="71154FAA" w:rsidR="00090423" w:rsidRPr="000F12B9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За клинико-диагностические услуги по договорам </w:t>
      </w:r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соисполнения </w:t>
      </w:r>
      <w:r w:rsidR="001558C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381 486,10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5C87471B" w14:textId="695EBB4C" w:rsidR="00090423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Прочие услуги и работы оставляет </w:t>
      </w:r>
      <w:r w:rsidR="001558C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61 473,52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, в.т.ч.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тех.ремонт, автотранспортные услуги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дератизация и дезинфекция, охрана объекта, обслуживание систем отопления, интернет,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сигнализация объектов, сопровождение информационных программ и 1 С, утилизация, вывоз мусора и т.д.   </w:t>
      </w:r>
    </w:p>
    <w:p w14:paraId="3E780C15" w14:textId="36681903" w:rsidR="00111E7B" w:rsidRDefault="00111E7B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Повышение квалификации сотрудников – </w:t>
      </w:r>
      <w:r w:rsidR="00545AD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3 702,</w:t>
      </w:r>
      <w:r w:rsidR="00EE62F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</w:t>
      </w:r>
    </w:p>
    <w:p w14:paraId="78F9FAE5" w14:textId="679926C3" w:rsidR="00111E7B" w:rsidRDefault="00111E7B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Капитальный ремонт зданий – </w:t>
      </w:r>
      <w:r w:rsidR="00EE62F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459 129,56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537B472C" w14:textId="3B664EBB" w:rsidR="005B5228" w:rsidRPr="00DB12B7" w:rsidRDefault="005B5228" w:rsidP="00DB12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5EE73D6A" w14:textId="1407E01F" w:rsidR="005B5228" w:rsidRPr="000F12B9" w:rsidRDefault="005B5228" w:rsidP="005B522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Остаток денежных средств на </w:t>
      </w:r>
      <w:r w:rsidR="00197F7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конец отчетного периода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8C74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375 527,46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470ED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1B9A27E0" w14:textId="7D51E4F5" w:rsidR="00DF43A3" w:rsidRDefault="00C127AF">
      <w:pPr>
        <w:rPr>
          <w:sz w:val="28"/>
          <w:szCs w:val="28"/>
        </w:rPr>
      </w:pPr>
    </w:p>
    <w:p w14:paraId="1889BE9A" w14:textId="7761CFD1" w:rsidR="00E138E6" w:rsidRPr="00E138E6" w:rsidRDefault="00E138E6" w:rsidP="00E138E6">
      <w:pPr>
        <w:rPr>
          <w:sz w:val="28"/>
          <w:szCs w:val="28"/>
        </w:rPr>
      </w:pPr>
    </w:p>
    <w:p w14:paraId="7E6E75C4" w14:textId="27413DB2" w:rsidR="00E138E6" w:rsidRDefault="00F73A1C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E138E6" w:rsidRPr="00E138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Кудабаев Е.Ш.</w:t>
      </w:r>
    </w:p>
    <w:p w14:paraId="74D17928" w14:textId="77777777" w:rsidR="00E138E6" w:rsidRPr="00E138E6" w:rsidRDefault="00E138E6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66503" w14:textId="24FE1768" w:rsidR="00E138E6" w:rsidRPr="00E138E6" w:rsidRDefault="00E138E6" w:rsidP="00E138E6">
      <w:pPr>
        <w:rPr>
          <w:sz w:val="28"/>
          <w:szCs w:val="28"/>
        </w:rPr>
      </w:pPr>
    </w:p>
    <w:p w14:paraId="42D4B92A" w14:textId="75D04590" w:rsidR="00E138E6" w:rsidRPr="00E138E6" w:rsidRDefault="00E138E6" w:rsidP="00E138E6">
      <w:pPr>
        <w:rPr>
          <w:sz w:val="28"/>
          <w:szCs w:val="28"/>
        </w:rPr>
      </w:pPr>
    </w:p>
    <w:p w14:paraId="5209A630" w14:textId="57396976" w:rsidR="00E138E6" w:rsidRDefault="00E138E6" w:rsidP="00E138E6">
      <w:pPr>
        <w:rPr>
          <w:sz w:val="28"/>
          <w:szCs w:val="28"/>
        </w:rPr>
      </w:pPr>
    </w:p>
    <w:p w14:paraId="508FAE88" w14:textId="77777777" w:rsidR="00E138E6" w:rsidRPr="00E138E6" w:rsidRDefault="00E138E6" w:rsidP="00E138E6">
      <w:pPr>
        <w:rPr>
          <w:sz w:val="28"/>
          <w:szCs w:val="28"/>
        </w:rPr>
      </w:pPr>
    </w:p>
    <w:sectPr w:rsidR="00E138E6" w:rsidRPr="00E1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76DE"/>
    <w:multiLevelType w:val="hybridMultilevel"/>
    <w:tmpl w:val="D7820E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D7ADC"/>
    <w:multiLevelType w:val="multilevel"/>
    <w:tmpl w:val="58E8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A18DB"/>
    <w:multiLevelType w:val="multilevel"/>
    <w:tmpl w:val="931AE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42BAD"/>
    <w:multiLevelType w:val="hybridMultilevel"/>
    <w:tmpl w:val="83E4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62F8"/>
    <w:multiLevelType w:val="multilevel"/>
    <w:tmpl w:val="335E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D6C9D"/>
    <w:multiLevelType w:val="multilevel"/>
    <w:tmpl w:val="46DE0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9398E"/>
    <w:multiLevelType w:val="hybridMultilevel"/>
    <w:tmpl w:val="738665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35681F"/>
    <w:multiLevelType w:val="hybridMultilevel"/>
    <w:tmpl w:val="53EA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120"/>
    <w:multiLevelType w:val="hybridMultilevel"/>
    <w:tmpl w:val="E4B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59"/>
    <w:rsid w:val="0001215F"/>
    <w:rsid w:val="00015BE8"/>
    <w:rsid w:val="00051A3F"/>
    <w:rsid w:val="0006047A"/>
    <w:rsid w:val="0007328D"/>
    <w:rsid w:val="00090423"/>
    <w:rsid w:val="000D12E3"/>
    <w:rsid w:val="000D69A0"/>
    <w:rsid w:val="000E292F"/>
    <w:rsid w:val="000E5C13"/>
    <w:rsid w:val="000E5EE7"/>
    <w:rsid w:val="000F12B9"/>
    <w:rsid w:val="000F76B5"/>
    <w:rsid w:val="00102B51"/>
    <w:rsid w:val="00111E7B"/>
    <w:rsid w:val="001435A7"/>
    <w:rsid w:val="001478B6"/>
    <w:rsid w:val="001526BC"/>
    <w:rsid w:val="001553E9"/>
    <w:rsid w:val="001558C9"/>
    <w:rsid w:val="001565D8"/>
    <w:rsid w:val="0016141A"/>
    <w:rsid w:val="00175A75"/>
    <w:rsid w:val="00195CA2"/>
    <w:rsid w:val="00197F78"/>
    <w:rsid w:val="001B39EE"/>
    <w:rsid w:val="001C4811"/>
    <w:rsid w:val="001F6F2F"/>
    <w:rsid w:val="00202E18"/>
    <w:rsid w:val="00204BF4"/>
    <w:rsid w:val="00226B38"/>
    <w:rsid w:val="00226C9D"/>
    <w:rsid w:val="0023633E"/>
    <w:rsid w:val="0024198B"/>
    <w:rsid w:val="00253D2D"/>
    <w:rsid w:val="00272899"/>
    <w:rsid w:val="002A66D6"/>
    <w:rsid w:val="002B0F56"/>
    <w:rsid w:val="002B4B4A"/>
    <w:rsid w:val="002C058B"/>
    <w:rsid w:val="002D0B33"/>
    <w:rsid w:val="002D2A28"/>
    <w:rsid w:val="002D4F45"/>
    <w:rsid w:val="002E6040"/>
    <w:rsid w:val="00305540"/>
    <w:rsid w:val="003208B3"/>
    <w:rsid w:val="0032411C"/>
    <w:rsid w:val="00331225"/>
    <w:rsid w:val="003318BE"/>
    <w:rsid w:val="00331B11"/>
    <w:rsid w:val="00345C50"/>
    <w:rsid w:val="00347557"/>
    <w:rsid w:val="0035421D"/>
    <w:rsid w:val="00376227"/>
    <w:rsid w:val="00382D8F"/>
    <w:rsid w:val="0038444A"/>
    <w:rsid w:val="00386749"/>
    <w:rsid w:val="003A4B9F"/>
    <w:rsid w:val="003A64CA"/>
    <w:rsid w:val="003A69AC"/>
    <w:rsid w:val="003C20E8"/>
    <w:rsid w:val="003D0859"/>
    <w:rsid w:val="003F1688"/>
    <w:rsid w:val="00402CF2"/>
    <w:rsid w:val="0041631B"/>
    <w:rsid w:val="00432634"/>
    <w:rsid w:val="00441CB9"/>
    <w:rsid w:val="0045523F"/>
    <w:rsid w:val="004640EC"/>
    <w:rsid w:val="00470ED3"/>
    <w:rsid w:val="00471F9D"/>
    <w:rsid w:val="004809E0"/>
    <w:rsid w:val="0049601D"/>
    <w:rsid w:val="004B0957"/>
    <w:rsid w:val="004E03BE"/>
    <w:rsid w:val="004F4498"/>
    <w:rsid w:val="00506A96"/>
    <w:rsid w:val="00510DD5"/>
    <w:rsid w:val="00526693"/>
    <w:rsid w:val="00527716"/>
    <w:rsid w:val="00531927"/>
    <w:rsid w:val="00545AD9"/>
    <w:rsid w:val="005471DB"/>
    <w:rsid w:val="00557498"/>
    <w:rsid w:val="00560509"/>
    <w:rsid w:val="00560D1A"/>
    <w:rsid w:val="0056135A"/>
    <w:rsid w:val="00594BBE"/>
    <w:rsid w:val="00594D00"/>
    <w:rsid w:val="005A66BB"/>
    <w:rsid w:val="005B5228"/>
    <w:rsid w:val="00615350"/>
    <w:rsid w:val="00617C81"/>
    <w:rsid w:val="00647533"/>
    <w:rsid w:val="00647C76"/>
    <w:rsid w:val="0065477E"/>
    <w:rsid w:val="00655940"/>
    <w:rsid w:val="006569C0"/>
    <w:rsid w:val="006913D1"/>
    <w:rsid w:val="006D5062"/>
    <w:rsid w:val="006E0664"/>
    <w:rsid w:val="007201F0"/>
    <w:rsid w:val="007362B2"/>
    <w:rsid w:val="0075525B"/>
    <w:rsid w:val="007560A7"/>
    <w:rsid w:val="007603CC"/>
    <w:rsid w:val="00781D1B"/>
    <w:rsid w:val="00793C1D"/>
    <w:rsid w:val="007962A8"/>
    <w:rsid w:val="007A5141"/>
    <w:rsid w:val="007B40D2"/>
    <w:rsid w:val="007C2910"/>
    <w:rsid w:val="007C2FBF"/>
    <w:rsid w:val="007E2D6E"/>
    <w:rsid w:val="0082469B"/>
    <w:rsid w:val="00830AB7"/>
    <w:rsid w:val="00840A43"/>
    <w:rsid w:val="00845612"/>
    <w:rsid w:val="00845817"/>
    <w:rsid w:val="008578C7"/>
    <w:rsid w:val="00871169"/>
    <w:rsid w:val="00874067"/>
    <w:rsid w:val="00881BD7"/>
    <w:rsid w:val="00887C83"/>
    <w:rsid w:val="0089241C"/>
    <w:rsid w:val="00893681"/>
    <w:rsid w:val="008C172C"/>
    <w:rsid w:val="008C7410"/>
    <w:rsid w:val="008D797D"/>
    <w:rsid w:val="008F7542"/>
    <w:rsid w:val="00911212"/>
    <w:rsid w:val="00931F72"/>
    <w:rsid w:val="0093688B"/>
    <w:rsid w:val="00955B9E"/>
    <w:rsid w:val="009746C5"/>
    <w:rsid w:val="009876AD"/>
    <w:rsid w:val="009B5902"/>
    <w:rsid w:val="009E18D5"/>
    <w:rsid w:val="009E4D61"/>
    <w:rsid w:val="009F5A1C"/>
    <w:rsid w:val="00A114EE"/>
    <w:rsid w:val="00A22107"/>
    <w:rsid w:val="00A24A3A"/>
    <w:rsid w:val="00A50B06"/>
    <w:rsid w:val="00A82DBD"/>
    <w:rsid w:val="00A86D27"/>
    <w:rsid w:val="00A901CF"/>
    <w:rsid w:val="00AA3215"/>
    <w:rsid w:val="00AB369C"/>
    <w:rsid w:val="00AC2790"/>
    <w:rsid w:val="00AF13ED"/>
    <w:rsid w:val="00B01110"/>
    <w:rsid w:val="00B10721"/>
    <w:rsid w:val="00B126F7"/>
    <w:rsid w:val="00B16E55"/>
    <w:rsid w:val="00B2287C"/>
    <w:rsid w:val="00B31777"/>
    <w:rsid w:val="00B46B42"/>
    <w:rsid w:val="00B62715"/>
    <w:rsid w:val="00B64448"/>
    <w:rsid w:val="00B657CD"/>
    <w:rsid w:val="00B704CD"/>
    <w:rsid w:val="00B74487"/>
    <w:rsid w:val="00B74D3E"/>
    <w:rsid w:val="00B87948"/>
    <w:rsid w:val="00B923E6"/>
    <w:rsid w:val="00BB5602"/>
    <w:rsid w:val="00BC2FDC"/>
    <w:rsid w:val="00BC3C4C"/>
    <w:rsid w:val="00BE4A9D"/>
    <w:rsid w:val="00BF217C"/>
    <w:rsid w:val="00C04F2A"/>
    <w:rsid w:val="00C06FA2"/>
    <w:rsid w:val="00C127AF"/>
    <w:rsid w:val="00C202F3"/>
    <w:rsid w:val="00C25345"/>
    <w:rsid w:val="00C37739"/>
    <w:rsid w:val="00C405DF"/>
    <w:rsid w:val="00C47D53"/>
    <w:rsid w:val="00C72C3B"/>
    <w:rsid w:val="00C76EFF"/>
    <w:rsid w:val="00CA0288"/>
    <w:rsid w:val="00CA5C52"/>
    <w:rsid w:val="00CA7E4D"/>
    <w:rsid w:val="00CD5E69"/>
    <w:rsid w:val="00CF1C98"/>
    <w:rsid w:val="00CF46EA"/>
    <w:rsid w:val="00D15C02"/>
    <w:rsid w:val="00D45BE9"/>
    <w:rsid w:val="00D50DF8"/>
    <w:rsid w:val="00D54358"/>
    <w:rsid w:val="00D55ABC"/>
    <w:rsid w:val="00D70487"/>
    <w:rsid w:val="00D74005"/>
    <w:rsid w:val="00D83FDD"/>
    <w:rsid w:val="00DA1EB6"/>
    <w:rsid w:val="00DB12B7"/>
    <w:rsid w:val="00DC6076"/>
    <w:rsid w:val="00DE35F1"/>
    <w:rsid w:val="00DE5481"/>
    <w:rsid w:val="00DF342F"/>
    <w:rsid w:val="00DF4831"/>
    <w:rsid w:val="00E132EA"/>
    <w:rsid w:val="00E138E6"/>
    <w:rsid w:val="00E25654"/>
    <w:rsid w:val="00E2759E"/>
    <w:rsid w:val="00E410B6"/>
    <w:rsid w:val="00E43ECF"/>
    <w:rsid w:val="00E52422"/>
    <w:rsid w:val="00E64263"/>
    <w:rsid w:val="00E80840"/>
    <w:rsid w:val="00E80A9C"/>
    <w:rsid w:val="00E91A46"/>
    <w:rsid w:val="00E93935"/>
    <w:rsid w:val="00E9546F"/>
    <w:rsid w:val="00EC2A31"/>
    <w:rsid w:val="00EC6F88"/>
    <w:rsid w:val="00EE540F"/>
    <w:rsid w:val="00EE62F9"/>
    <w:rsid w:val="00EF47C6"/>
    <w:rsid w:val="00F1693F"/>
    <w:rsid w:val="00F3193D"/>
    <w:rsid w:val="00F34BE2"/>
    <w:rsid w:val="00F40C67"/>
    <w:rsid w:val="00F43AF9"/>
    <w:rsid w:val="00F52DD9"/>
    <w:rsid w:val="00F7015F"/>
    <w:rsid w:val="00F73A1C"/>
    <w:rsid w:val="00F770D6"/>
    <w:rsid w:val="00F87159"/>
    <w:rsid w:val="00FA4547"/>
    <w:rsid w:val="00FB47F8"/>
    <w:rsid w:val="00FB79A3"/>
    <w:rsid w:val="00FC152A"/>
    <w:rsid w:val="00FC7920"/>
    <w:rsid w:val="00FD0AFE"/>
    <w:rsid w:val="00FD0C0D"/>
    <w:rsid w:val="00FE4EAB"/>
    <w:rsid w:val="00FE5713"/>
    <w:rsid w:val="00FF150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7DF"/>
  <w15:chartTrackingRefBased/>
  <w15:docId w15:val="{7C653794-1FE1-49BD-8F37-EFD56BB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admin</cp:lastModifiedBy>
  <cp:revision>278</cp:revision>
  <cp:lastPrinted>2021-10-13T05:03:00Z</cp:lastPrinted>
  <dcterms:created xsi:type="dcterms:W3CDTF">2021-10-12T05:34:00Z</dcterms:created>
  <dcterms:modified xsi:type="dcterms:W3CDTF">2025-04-29T10:38:00Z</dcterms:modified>
</cp:coreProperties>
</file>