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E186" w14:textId="77777777" w:rsidR="00BC2FDC" w:rsidRDefault="00090423" w:rsidP="00090423">
      <w:pPr>
        <w:shd w:val="clear" w:color="auto" w:fill="FFFFFF"/>
        <w:spacing w:after="300" w:line="618" w:lineRule="atLeast"/>
        <w:outlineLvl w:val="1"/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</w:pPr>
      <w:r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ОТЧЕТ О ДОХОДАХ И РАСХОДАХ </w:t>
      </w:r>
    </w:p>
    <w:p w14:paraId="2AF52654" w14:textId="09F192E2" w:rsidR="00090423" w:rsidRPr="00E80A9C" w:rsidRDefault="00BC2FDC" w:rsidP="00090423">
      <w:pPr>
        <w:shd w:val="clear" w:color="auto" w:fill="FFFFFF"/>
        <w:spacing w:after="300" w:line="618" w:lineRule="atLeast"/>
        <w:outlineLvl w:val="1"/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по итогам </w:t>
      </w:r>
      <w:r w:rsidR="003A69A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9 месяцев</w:t>
      </w:r>
      <w:r w:rsidR="00AB36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 </w:t>
      </w:r>
      <w:r w:rsidR="00090423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202</w:t>
      </w:r>
      <w:r w:rsidR="003208B3">
        <w:rPr>
          <w:rFonts w:ascii="Times New Roman" w:eastAsia="Times New Roman" w:hAnsi="Times New Roman" w:cs="Times New Roman"/>
          <w:color w:val="191919"/>
          <w:sz w:val="48"/>
          <w:szCs w:val="48"/>
          <w:lang w:val="kk-KZ" w:eastAsia="ru-RU"/>
        </w:rPr>
        <w:t>4</w:t>
      </w:r>
      <w:r w:rsidR="00E80A9C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 </w:t>
      </w:r>
      <w:r w:rsidR="00090423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года</w:t>
      </w:r>
    </w:p>
    <w:p w14:paraId="7F9C8764" w14:textId="29DD27C9" w:rsidR="00090423" w:rsidRPr="000F12B9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4"/>
          <w:szCs w:val="24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4"/>
          <w:szCs w:val="24"/>
          <w:lang w:eastAsia="ru-RU"/>
        </w:rPr>
        <w:t> </w:t>
      </w:r>
      <w:r w:rsidR="00E43ECF" w:rsidRPr="00E43ECF">
        <w:drawing>
          <wp:inline distT="0" distB="0" distL="0" distR="0" wp14:anchorId="52B58D6B" wp14:editId="2F9B4A98">
            <wp:extent cx="5940425" cy="72301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A365" w14:textId="77777777" w:rsidR="00793C1D" w:rsidRDefault="00793C1D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4D09B544" w14:textId="6194B7AF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Пояснительная записка</w:t>
      </w:r>
    </w:p>
    <w:p w14:paraId="087BE0FA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1372802F" w14:textId="19F6CF4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lastRenderedPageBreak/>
        <w:t>к отчету «О доходах и расходах </w:t>
      </w:r>
      <w:r w:rsidR="00204BF4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по итогам 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9 мес.</w:t>
      </w:r>
      <w:r w:rsidR="00204BF4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202</w:t>
      </w:r>
      <w:r w:rsidR="00B46B4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год</w:t>
      </w:r>
      <w:r w:rsidR="0035421D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а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»</w:t>
      </w:r>
    </w:p>
    <w:p w14:paraId="2AAC48BE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2E6F674F" w14:textId="06DEC2DD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ГКП на ПХВ «Городская поликлиника №</w:t>
      </w:r>
      <w:r w:rsidR="0084581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21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» УЗ г.Алматы</w:t>
      </w:r>
    </w:p>
    <w:p w14:paraId="02DB03B7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272A37EF" w14:textId="0E91C5C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г.Алматы</w:t>
      </w:r>
      <w:r w:rsidR="00845817"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 </w:t>
      </w:r>
      <w:r w:rsidR="00845817"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п.Кокжиек, 66</w:t>
      </w:r>
    </w:p>
    <w:p w14:paraId="19B08500" w14:textId="753B5BE1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23EB0BD2" w14:textId="3AAEFEB7" w:rsidR="00090423" w:rsidRPr="000F12B9" w:rsidRDefault="00090423" w:rsidP="0034755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I.Доходы </w:t>
      </w:r>
      <w:r w:rsidR="00A2210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по итогам </w:t>
      </w:r>
      <w:r w:rsidR="00526693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9 мес.</w:t>
      </w:r>
      <w:r w:rsidR="0035421D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202</w:t>
      </w:r>
      <w:r w:rsidR="00B46B4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года составляет 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1 284 240,03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 тенге, из них:</w:t>
      </w:r>
    </w:p>
    <w:p w14:paraId="7BA3ABF2" w14:textId="57E59DF0" w:rsidR="00090423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государственный заказ из Республиканского бюджета 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1 135 143,34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тыс.тенге ( </w:t>
      </w:r>
      <w:r w:rsidRPr="000F12B9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в т.ч. поступление авансов по договорам )</w:t>
      </w:r>
    </w:p>
    <w:p w14:paraId="510855DA" w14:textId="2B5AA3EA" w:rsidR="00090423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доходы от оказани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я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платных услуг</w:t>
      </w:r>
      <w:r w:rsidR="00B011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8 086,24</w:t>
      </w:r>
      <w:r w:rsidR="00BF217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B2287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5B3F20ED" w14:textId="1D63A638" w:rsidR="00B46B42" w:rsidRDefault="00B46B42" w:rsidP="008C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прочие поступления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141 010,45 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 (гарантийн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взнос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1901,58 тыс.тенге, в</w:t>
      </w:r>
      <w:r w:rsidR="00526693" w:rsidRP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озмещение денежных средств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-1 370,0 тыс.тенге, п</w:t>
      </w:r>
      <w:r w:rsidR="00526693" w:rsidRP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оступление на капитальный ремонт зданий/помещений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-137 738,87 тыс.тенге)</w:t>
      </w:r>
      <w:r w:rsidR="00B657CD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47D27E9C" w14:textId="77777777" w:rsidR="00090423" w:rsidRPr="000F12B9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42D38C68" w14:textId="6E955BCC" w:rsidR="00347557" w:rsidRPr="000F12B9" w:rsidRDefault="00090423" w:rsidP="000F12B9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II.Расходы 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по итогам </w:t>
      </w:r>
      <w:r w:rsidR="00845612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9 мес.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202</w:t>
      </w:r>
      <w:r w:rsidR="003A64CA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4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года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составляет </w:t>
      </w:r>
      <w:r w:rsidR="00845612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1 391 653,16</w:t>
      </w:r>
      <w:r w:rsidR="007962A8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</w:p>
    <w:p w14:paraId="05DE0BF3" w14:textId="5B4C7D67" w:rsidR="00090423" w:rsidRPr="003C20E8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Расходы по фонду оплаты труда на содержание 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</w:t>
      </w:r>
      <w:r w:rsidR="00560D1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71</w:t>
      </w:r>
      <w:r w:rsidR="00D5435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,0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штатных единиц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84561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782 864,18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с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редняя заработная плата врачей составляет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568 942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средняя заработная плата среднего медицинского персонала составляет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286 295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младшего медицинского персонала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165 043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прочего персонала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453 547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тенге. </w:t>
      </w:r>
    </w:p>
    <w:p w14:paraId="327D2A8B" w14:textId="46E17283" w:rsidR="00090423" w:rsidRPr="00202E18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Социальный налог и социальные отчисления</w:t>
      </w:r>
      <w:r w:rsid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</w:t>
      </w:r>
      <w:r w:rsidR="00202E18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бязательные социальные медицинские страхования</w:t>
      </w:r>
      <w:r w:rsidR="00B62715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 обязательные пенсионные взносы</w:t>
      </w:r>
      <w:r w:rsidR="00202E18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B62715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работодателя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составляют </w:t>
      </w:r>
      <w:r w:rsidR="00D54358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86 971,77</w:t>
      </w:r>
      <w:r w:rsidRPr="00202E18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r w:rsidRP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347557" w:rsidRP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0D105020" w14:textId="3F784A6A" w:rsidR="00347557" w:rsidRPr="000F12B9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Налог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и </w:t>
      </w:r>
      <w:r w:rsidR="00560D1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3 242,54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 из них: </w:t>
      </w:r>
    </w:p>
    <w:p w14:paraId="3D6E0457" w14:textId="195DE863" w:rsidR="003C20E8" w:rsidRDefault="00347557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Земельный налог</w:t>
      </w:r>
      <w:r w:rsid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–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5,38</w:t>
      </w:r>
      <w:r w:rsid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</w:t>
      </w:r>
    </w:p>
    <w:p w14:paraId="276CDFD5" w14:textId="2B54509B" w:rsidR="006E0664" w:rsidRPr="003C20E8" w:rsidRDefault="003C20E8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Нало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г на </w:t>
      </w:r>
      <w:r w:rsidR="00090423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имущество </w:t>
      </w:r>
      <w:r w:rsidR="00202E1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–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316,15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</w:t>
      </w:r>
    </w:p>
    <w:p w14:paraId="53E5B94A" w14:textId="1CC68952" w:rsidR="00090423" w:rsidRPr="007962A8" w:rsidRDefault="006E0664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Эмиссия окружающей среды –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18,39</w:t>
      </w:r>
      <w:r w:rsidRP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</w:t>
      </w:r>
    </w:p>
    <w:p w14:paraId="671CC188" w14:textId="684577F8" w:rsidR="00B62715" w:rsidRDefault="00B62715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Прочие налоги –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2902,62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тыс.тенге.</w:t>
      </w:r>
    </w:p>
    <w:p w14:paraId="3664DB93" w14:textId="3E2BBFA0" w:rsidR="006E0664" w:rsidRPr="0056135A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Коммунальные расходы </w:t>
      </w:r>
      <w:r w:rsidR="006E0664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–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8 513,85</w:t>
      </w:r>
      <w:r w:rsidR="006E0664" w:rsidRPr="0056135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 из них:</w:t>
      </w:r>
    </w:p>
    <w:p w14:paraId="4DDA63D3" w14:textId="13ABE972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Э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лектроэнерги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я –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2 613,34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5A080EB7" w14:textId="06E03527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Х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олодн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ая вода и канализация –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394,54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63ABE97C" w14:textId="6E86BEC5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Отопление, 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горячей и химической воде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–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5 505,97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тыс.тенге.</w:t>
      </w:r>
    </w:p>
    <w:p w14:paraId="246B3773" w14:textId="13B387CE" w:rsidR="006E0664" w:rsidRPr="000F12B9" w:rsidRDefault="006E0664" w:rsidP="00386749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Проводятся работы по снижению расходов коммунальных услуг, а именно поэтапно заменяются лампы на энергосберегающие лампы, согласно заключению энергоаудита.</w:t>
      </w:r>
    </w:p>
    <w:p w14:paraId="696D9358" w14:textId="0B8B18B5" w:rsidR="006E0664" w:rsidRDefault="006E0664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Услуги связи –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2 054,28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тыс.тенге,</w:t>
      </w:r>
    </w:p>
    <w:p w14:paraId="48E502A9" w14:textId="2690A408" w:rsidR="00BC3C4C" w:rsidRDefault="00BC3C4C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Командировочные расходы – 37,15 тыс.тенге,</w:t>
      </w:r>
    </w:p>
    <w:p w14:paraId="36FADCE4" w14:textId="7D42FC7A" w:rsidR="00386749" w:rsidRPr="000F12B9" w:rsidRDefault="00386749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Расходы на приобретение детского питания (смесь) составляет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4 338,42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тыс.тенге.</w:t>
      </w:r>
    </w:p>
    <w:p w14:paraId="00ED8671" w14:textId="4AD53AA2" w:rsidR="002B4B4A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Расходы на приобретение медикаментов</w:t>
      </w:r>
      <w:r w:rsidR="00E2759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и</w:t>
      </w:r>
      <w:r w:rsidR="0038674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и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зделий медицинского назначения составляет</w:t>
      </w:r>
      <w:r w:rsidR="006E0664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54 397,70</w:t>
      </w:r>
      <w:r w:rsidRPr="000F12B9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 тенге.</w:t>
      </w:r>
    </w:p>
    <w:p w14:paraId="3F8FB6C3" w14:textId="1B19B477" w:rsidR="0082469B" w:rsidRDefault="0082469B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DB12B7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Приобретения основных средств и прочего оборудования – 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1 015,30</w:t>
      </w:r>
      <w:r w:rsidRPr="00DB12B7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 (</w:t>
      </w:r>
      <w:r w:rsidR="0006047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микроволнов</w:t>
      </w:r>
      <w:r w:rsidR="007C29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ая</w:t>
      </w:r>
      <w:r w:rsidR="0006047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печь</w:t>
      </w:r>
      <w:r w:rsidRPr="00DB12B7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),</w:t>
      </w:r>
    </w:p>
    <w:p w14:paraId="234D54FA" w14:textId="5C1FA24B" w:rsidR="00090423" w:rsidRPr="000F12B9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lastRenderedPageBreak/>
        <w:t>Приобретение хоз. товаров   и инвентаря составляет </w:t>
      </w:r>
      <w:r w:rsidR="00FF150C">
        <w:rPr>
          <w:rFonts w:ascii="Times New Roman" w:eastAsia="Times New Roman" w:hAnsi="Times New Roman" w:cs="Times New Roman"/>
          <w:color w:val="7C7B7B"/>
          <w:sz w:val="28"/>
          <w:szCs w:val="28"/>
          <w:lang w:val="kk-KZ" w:eastAsia="ru-RU"/>
        </w:rPr>
        <w:t>15 774,04</w:t>
      </w:r>
      <w:r w:rsidRPr="000F12B9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val="kk-KZ" w:eastAsia="ru-RU"/>
        </w:rPr>
        <w:t>,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в том числе: </w:t>
      </w:r>
      <w:r w:rsidR="00FB79A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дезинфицирующие средства,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канцелярские товары,  моющие средства, запасные части для оргтехники, хоз инвентарь для нужд отделений )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6D89DA44" w14:textId="11DDA1CD" w:rsidR="00090423" w:rsidRPr="000F12B9" w:rsidRDefault="00090423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За клинико-диагностические услуги по договорам </w:t>
      </w:r>
      <w:r w:rsidR="007C29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соисполнения </w:t>
      </w:r>
      <w:r w:rsidR="00FF150C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260 558,60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тыс.тенге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5C87471B" w14:textId="7CC220FA" w:rsidR="00090423" w:rsidRDefault="00090423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Прочие услуги и работы оставляет </w:t>
      </w:r>
      <w:r w:rsidR="00FF150C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33 219,26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, в.т.ч.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тех.ремонт, автотранспортные услуги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дератизация и дезинфекция, охрана объекта, обслуживание систем отопления, интернет,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сигнализация объектов, сопровождение информационных программ и 1 С, утилизация, вывоз мусора и т.д.   </w:t>
      </w:r>
    </w:p>
    <w:p w14:paraId="3E780C15" w14:textId="0A7300FF" w:rsidR="00111E7B" w:rsidRDefault="00111E7B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Повышение квалификации сотрудников – 927,20 тыс.тенге, </w:t>
      </w:r>
    </w:p>
    <w:p w14:paraId="78F9FAE5" w14:textId="19786884" w:rsidR="00111E7B" w:rsidRDefault="00111E7B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Капитальный ремонт зданий – 137 738,87 тыс.тенге.</w:t>
      </w:r>
    </w:p>
    <w:p w14:paraId="537B472C" w14:textId="3B664EBB" w:rsidR="005B5228" w:rsidRPr="00DB12B7" w:rsidRDefault="005B5228" w:rsidP="00DB12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5EE73D6A" w14:textId="1501B830" w:rsidR="005B5228" w:rsidRPr="000F12B9" w:rsidRDefault="005B5228" w:rsidP="005B522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Остаток денежных средств на </w:t>
      </w:r>
      <w:r w:rsidR="00197F7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конец отчетного периода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CA028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286 686,06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470ED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1B9A27E0" w14:textId="7D51E4F5" w:rsidR="00DF43A3" w:rsidRDefault="00CA0288">
      <w:pPr>
        <w:rPr>
          <w:sz w:val="28"/>
          <w:szCs w:val="28"/>
        </w:rPr>
      </w:pPr>
    </w:p>
    <w:p w14:paraId="1889BE9A" w14:textId="7761CFD1" w:rsidR="00E138E6" w:rsidRPr="00E138E6" w:rsidRDefault="00E138E6" w:rsidP="00E138E6">
      <w:pPr>
        <w:rPr>
          <w:sz w:val="28"/>
          <w:szCs w:val="28"/>
        </w:rPr>
      </w:pPr>
    </w:p>
    <w:p w14:paraId="7E6E75C4" w14:textId="27413DB2" w:rsidR="00E138E6" w:rsidRDefault="00F73A1C" w:rsidP="00E13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E138E6" w:rsidRPr="00E138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Кудабаев Е.Ш.</w:t>
      </w:r>
    </w:p>
    <w:p w14:paraId="74D17928" w14:textId="77777777" w:rsidR="00E138E6" w:rsidRPr="00E138E6" w:rsidRDefault="00E138E6" w:rsidP="00E13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66503" w14:textId="24FE1768" w:rsidR="00E138E6" w:rsidRPr="00E138E6" w:rsidRDefault="00E138E6" w:rsidP="00E138E6">
      <w:pPr>
        <w:rPr>
          <w:sz w:val="28"/>
          <w:szCs w:val="28"/>
        </w:rPr>
      </w:pPr>
    </w:p>
    <w:p w14:paraId="42D4B92A" w14:textId="75D04590" w:rsidR="00E138E6" w:rsidRPr="00E138E6" w:rsidRDefault="00E138E6" w:rsidP="00E138E6">
      <w:pPr>
        <w:rPr>
          <w:sz w:val="28"/>
          <w:szCs w:val="28"/>
        </w:rPr>
      </w:pPr>
    </w:p>
    <w:p w14:paraId="5209A630" w14:textId="57396976" w:rsidR="00E138E6" w:rsidRDefault="00E138E6" w:rsidP="00E138E6">
      <w:pPr>
        <w:rPr>
          <w:sz w:val="28"/>
          <w:szCs w:val="28"/>
        </w:rPr>
      </w:pPr>
    </w:p>
    <w:p w14:paraId="508FAE88" w14:textId="77777777" w:rsidR="00E138E6" w:rsidRPr="00E138E6" w:rsidRDefault="00E138E6" w:rsidP="00E138E6">
      <w:pPr>
        <w:rPr>
          <w:sz w:val="28"/>
          <w:szCs w:val="28"/>
        </w:rPr>
      </w:pPr>
    </w:p>
    <w:sectPr w:rsidR="00E138E6" w:rsidRPr="00E1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76DE"/>
    <w:multiLevelType w:val="hybridMultilevel"/>
    <w:tmpl w:val="D7820E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D7ADC"/>
    <w:multiLevelType w:val="multilevel"/>
    <w:tmpl w:val="58E8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A18DB"/>
    <w:multiLevelType w:val="multilevel"/>
    <w:tmpl w:val="931AE1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42BAD"/>
    <w:multiLevelType w:val="hybridMultilevel"/>
    <w:tmpl w:val="83E4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262F8"/>
    <w:multiLevelType w:val="multilevel"/>
    <w:tmpl w:val="335E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D6C9D"/>
    <w:multiLevelType w:val="multilevel"/>
    <w:tmpl w:val="46DE08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9398E"/>
    <w:multiLevelType w:val="hybridMultilevel"/>
    <w:tmpl w:val="738665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35681F"/>
    <w:multiLevelType w:val="hybridMultilevel"/>
    <w:tmpl w:val="53EA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C7120"/>
    <w:multiLevelType w:val="hybridMultilevel"/>
    <w:tmpl w:val="E4B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59"/>
    <w:rsid w:val="0001215F"/>
    <w:rsid w:val="00051A3F"/>
    <w:rsid w:val="0006047A"/>
    <w:rsid w:val="0007328D"/>
    <w:rsid w:val="00090423"/>
    <w:rsid w:val="000D12E3"/>
    <w:rsid w:val="000D69A0"/>
    <w:rsid w:val="000E292F"/>
    <w:rsid w:val="000E5C13"/>
    <w:rsid w:val="000E5EE7"/>
    <w:rsid w:val="000F12B9"/>
    <w:rsid w:val="000F76B5"/>
    <w:rsid w:val="00102B51"/>
    <w:rsid w:val="00111E7B"/>
    <w:rsid w:val="001435A7"/>
    <w:rsid w:val="001478B6"/>
    <w:rsid w:val="001526BC"/>
    <w:rsid w:val="001553E9"/>
    <w:rsid w:val="001565D8"/>
    <w:rsid w:val="0016141A"/>
    <w:rsid w:val="00175A75"/>
    <w:rsid w:val="00195CA2"/>
    <w:rsid w:val="00197F78"/>
    <w:rsid w:val="001B39EE"/>
    <w:rsid w:val="001C4811"/>
    <w:rsid w:val="001F6F2F"/>
    <w:rsid w:val="00202E18"/>
    <w:rsid w:val="00204BF4"/>
    <w:rsid w:val="00226B38"/>
    <w:rsid w:val="00226C9D"/>
    <w:rsid w:val="0023633E"/>
    <w:rsid w:val="0024198B"/>
    <w:rsid w:val="00253D2D"/>
    <w:rsid w:val="00272899"/>
    <w:rsid w:val="002A66D6"/>
    <w:rsid w:val="002B0F56"/>
    <w:rsid w:val="002B4B4A"/>
    <w:rsid w:val="002C058B"/>
    <w:rsid w:val="002D0B33"/>
    <w:rsid w:val="002D4F45"/>
    <w:rsid w:val="002E6040"/>
    <w:rsid w:val="00305540"/>
    <w:rsid w:val="003208B3"/>
    <w:rsid w:val="0032411C"/>
    <w:rsid w:val="00331225"/>
    <w:rsid w:val="003318BE"/>
    <w:rsid w:val="00331B11"/>
    <w:rsid w:val="00345C50"/>
    <w:rsid w:val="00347557"/>
    <w:rsid w:val="0035421D"/>
    <w:rsid w:val="00376227"/>
    <w:rsid w:val="00382D8F"/>
    <w:rsid w:val="0038444A"/>
    <w:rsid w:val="00386749"/>
    <w:rsid w:val="003A4B9F"/>
    <w:rsid w:val="003A64CA"/>
    <w:rsid w:val="003A69AC"/>
    <w:rsid w:val="003C20E8"/>
    <w:rsid w:val="003D0859"/>
    <w:rsid w:val="003F1688"/>
    <w:rsid w:val="00402CF2"/>
    <w:rsid w:val="0041631B"/>
    <w:rsid w:val="00432634"/>
    <w:rsid w:val="00441CB9"/>
    <w:rsid w:val="0045523F"/>
    <w:rsid w:val="004640EC"/>
    <w:rsid w:val="00470ED3"/>
    <w:rsid w:val="00471F9D"/>
    <w:rsid w:val="004809E0"/>
    <w:rsid w:val="0049601D"/>
    <w:rsid w:val="004B0957"/>
    <w:rsid w:val="004E03BE"/>
    <w:rsid w:val="004F4498"/>
    <w:rsid w:val="00506A96"/>
    <w:rsid w:val="00510DD5"/>
    <w:rsid w:val="00526693"/>
    <w:rsid w:val="00527716"/>
    <w:rsid w:val="00531927"/>
    <w:rsid w:val="005471DB"/>
    <w:rsid w:val="00557498"/>
    <w:rsid w:val="00560509"/>
    <w:rsid w:val="00560D1A"/>
    <w:rsid w:val="0056135A"/>
    <w:rsid w:val="00594BBE"/>
    <w:rsid w:val="00594D00"/>
    <w:rsid w:val="005A66BB"/>
    <w:rsid w:val="005B5228"/>
    <w:rsid w:val="00615350"/>
    <w:rsid w:val="00617C81"/>
    <w:rsid w:val="00647533"/>
    <w:rsid w:val="00647C76"/>
    <w:rsid w:val="0065477E"/>
    <w:rsid w:val="00655940"/>
    <w:rsid w:val="006569C0"/>
    <w:rsid w:val="006913D1"/>
    <w:rsid w:val="006D5062"/>
    <w:rsid w:val="006E0664"/>
    <w:rsid w:val="007201F0"/>
    <w:rsid w:val="007362B2"/>
    <w:rsid w:val="0075525B"/>
    <w:rsid w:val="007560A7"/>
    <w:rsid w:val="007603CC"/>
    <w:rsid w:val="00781D1B"/>
    <w:rsid w:val="00793C1D"/>
    <w:rsid w:val="007962A8"/>
    <w:rsid w:val="007A5141"/>
    <w:rsid w:val="007B40D2"/>
    <w:rsid w:val="007C2910"/>
    <w:rsid w:val="007C2FBF"/>
    <w:rsid w:val="007E2D6E"/>
    <w:rsid w:val="0082469B"/>
    <w:rsid w:val="00840A43"/>
    <w:rsid w:val="00845612"/>
    <w:rsid w:val="00845817"/>
    <w:rsid w:val="008578C7"/>
    <w:rsid w:val="00871169"/>
    <w:rsid w:val="00874067"/>
    <w:rsid w:val="00881BD7"/>
    <w:rsid w:val="00887C83"/>
    <w:rsid w:val="0089241C"/>
    <w:rsid w:val="00893681"/>
    <w:rsid w:val="008C172C"/>
    <w:rsid w:val="008D797D"/>
    <w:rsid w:val="008F7542"/>
    <w:rsid w:val="00911212"/>
    <w:rsid w:val="00931F72"/>
    <w:rsid w:val="0093688B"/>
    <w:rsid w:val="00955B9E"/>
    <w:rsid w:val="009746C5"/>
    <w:rsid w:val="009876AD"/>
    <w:rsid w:val="009B5902"/>
    <w:rsid w:val="009E18D5"/>
    <w:rsid w:val="009E4D61"/>
    <w:rsid w:val="009F5A1C"/>
    <w:rsid w:val="00A114EE"/>
    <w:rsid w:val="00A22107"/>
    <w:rsid w:val="00A50B06"/>
    <w:rsid w:val="00A82DBD"/>
    <w:rsid w:val="00A86D27"/>
    <w:rsid w:val="00A901CF"/>
    <w:rsid w:val="00AA3215"/>
    <w:rsid w:val="00AB369C"/>
    <w:rsid w:val="00AC2790"/>
    <w:rsid w:val="00AF13ED"/>
    <w:rsid w:val="00B01110"/>
    <w:rsid w:val="00B10721"/>
    <w:rsid w:val="00B126F7"/>
    <w:rsid w:val="00B16E55"/>
    <w:rsid w:val="00B2287C"/>
    <w:rsid w:val="00B31777"/>
    <w:rsid w:val="00B46B42"/>
    <w:rsid w:val="00B62715"/>
    <w:rsid w:val="00B64448"/>
    <w:rsid w:val="00B657CD"/>
    <w:rsid w:val="00B704CD"/>
    <w:rsid w:val="00B74487"/>
    <w:rsid w:val="00B74D3E"/>
    <w:rsid w:val="00B87948"/>
    <w:rsid w:val="00B923E6"/>
    <w:rsid w:val="00BB5602"/>
    <w:rsid w:val="00BC2FDC"/>
    <w:rsid w:val="00BC3C4C"/>
    <w:rsid w:val="00BE4A9D"/>
    <w:rsid w:val="00BF217C"/>
    <w:rsid w:val="00C04F2A"/>
    <w:rsid w:val="00C06FA2"/>
    <w:rsid w:val="00C202F3"/>
    <w:rsid w:val="00C25345"/>
    <w:rsid w:val="00C405DF"/>
    <w:rsid w:val="00C47D53"/>
    <w:rsid w:val="00C76EFF"/>
    <w:rsid w:val="00CA0288"/>
    <w:rsid w:val="00CA5C52"/>
    <w:rsid w:val="00CA7E4D"/>
    <w:rsid w:val="00CD5E69"/>
    <w:rsid w:val="00CF1C98"/>
    <w:rsid w:val="00CF46EA"/>
    <w:rsid w:val="00D15C02"/>
    <w:rsid w:val="00D45BE9"/>
    <w:rsid w:val="00D50DF8"/>
    <w:rsid w:val="00D54358"/>
    <w:rsid w:val="00D55ABC"/>
    <w:rsid w:val="00D70487"/>
    <w:rsid w:val="00D74005"/>
    <w:rsid w:val="00D83FDD"/>
    <w:rsid w:val="00DA1EB6"/>
    <w:rsid w:val="00DB12B7"/>
    <w:rsid w:val="00DC6076"/>
    <w:rsid w:val="00DE35F1"/>
    <w:rsid w:val="00DE5481"/>
    <w:rsid w:val="00DF342F"/>
    <w:rsid w:val="00DF4831"/>
    <w:rsid w:val="00E132EA"/>
    <w:rsid w:val="00E138E6"/>
    <w:rsid w:val="00E25654"/>
    <w:rsid w:val="00E2759E"/>
    <w:rsid w:val="00E410B6"/>
    <w:rsid w:val="00E43ECF"/>
    <w:rsid w:val="00E52422"/>
    <w:rsid w:val="00E64263"/>
    <w:rsid w:val="00E80840"/>
    <w:rsid w:val="00E80A9C"/>
    <w:rsid w:val="00E91A46"/>
    <w:rsid w:val="00E9546F"/>
    <w:rsid w:val="00EC2A31"/>
    <w:rsid w:val="00EC6F88"/>
    <w:rsid w:val="00EE540F"/>
    <w:rsid w:val="00EF47C6"/>
    <w:rsid w:val="00F1693F"/>
    <w:rsid w:val="00F3193D"/>
    <w:rsid w:val="00F34BE2"/>
    <w:rsid w:val="00F40C67"/>
    <w:rsid w:val="00F43AF9"/>
    <w:rsid w:val="00F52DD9"/>
    <w:rsid w:val="00F7015F"/>
    <w:rsid w:val="00F73A1C"/>
    <w:rsid w:val="00F770D6"/>
    <w:rsid w:val="00F87159"/>
    <w:rsid w:val="00FA4547"/>
    <w:rsid w:val="00FB47F8"/>
    <w:rsid w:val="00FB79A3"/>
    <w:rsid w:val="00FC152A"/>
    <w:rsid w:val="00FC7920"/>
    <w:rsid w:val="00FD0AFE"/>
    <w:rsid w:val="00FD0C0D"/>
    <w:rsid w:val="00FE4EAB"/>
    <w:rsid w:val="00FE5713"/>
    <w:rsid w:val="00FF150C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F7DF"/>
  <w15:chartTrackingRefBased/>
  <w15:docId w15:val="{7C653794-1FE1-49BD-8F37-EFD56BB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admin</cp:lastModifiedBy>
  <cp:revision>264</cp:revision>
  <cp:lastPrinted>2021-10-13T05:03:00Z</cp:lastPrinted>
  <dcterms:created xsi:type="dcterms:W3CDTF">2021-10-12T05:34:00Z</dcterms:created>
  <dcterms:modified xsi:type="dcterms:W3CDTF">2025-04-29T10:23:00Z</dcterms:modified>
</cp:coreProperties>
</file>