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3013" w14:textId="77777777" w:rsidR="00175A75" w:rsidRDefault="00090423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ОТЧЕТ О ДОХОДАХ И РАСХОДАХ </w:t>
      </w:r>
    </w:p>
    <w:p w14:paraId="2AF52654" w14:textId="665F31AF" w:rsidR="00090423" w:rsidRPr="00E80A9C" w:rsidRDefault="00396F64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                          </w:t>
      </w:r>
      <w:r w:rsidR="00AB36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за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202</w:t>
      </w:r>
      <w:r w:rsidR="00AB36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2</w:t>
      </w:r>
      <w:r w:rsidR="00E80A9C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год</w:t>
      </w:r>
    </w:p>
    <w:tbl>
      <w:tblPr>
        <w:tblW w:w="10723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682"/>
        <w:gridCol w:w="2204"/>
        <w:gridCol w:w="2635"/>
        <w:gridCol w:w="7"/>
      </w:tblGrid>
      <w:tr w:rsidR="00090423" w:rsidRPr="000F12B9" w14:paraId="2B5FF390" w14:textId="77777777" w:rsidTr="00396F64">
        <w:trPr>
          <w:gridAfter w:val="1"/>
          <w:wAfter w:w="7" w:type="dxa"/>
          <w:trHeight w:val="960"/>
        </w:trPr>
        <w:tc>
          <w:tcPr>
            <w:tcW w:w="419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2987" w14:textId="7777777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AD84" w14:textId="77777777" w:rsidR="00D04388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="0039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4861DEAF" w14:textId="63BD7FEE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04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501C" w14:textId="4B5E60EB" w:rsidR="00090423" w:rsidRPr="00D04388" w:rsidRDefault="00396F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Исполнение, </w:t>
            </w:r>
          </w:p>
          <w:p w14:paraId="6DA8B3B7" w14:textId="13437084" w:rsidR="00396F64" w:rsidRPr="000F12B9" w:rsidRDefault="00396F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35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4F50" w14:textId="2061B639" w:rsidR="00A50B06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поступление</w:t>
            </w:r>
            <w:r w:rsidR="0039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/выбытие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C037301" w14:textId="1D402AD5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23" w:rsidRPr="000F12B9" w14:paraId="67C52020" w14:textId="77777777" w:rsidTr="00396F64">
        <w:trPr>
          <w:gridAfter w:val="1"/>
          <w:wAfter w:w="7" w:type="dxa"/>
          <w:trHeight w:val="609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9B14" w14:textId="2250F2BE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01 января 202</w:t>
            </w:r>
            <w:r w:rsidR="00E80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17D8" w14:textId="6C587A99" w:rsidR="00090423" w:rsidRPr="000F12B9" w:rsidRDefault="00C25345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284 474,75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A18C" w14:textId="15C7DEF5" w:rsidR="00090423" w:rsidRPr="000F12B9" w:rsidRDefault="00090423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36CD" w14:textId="53345F03" w:rsidR="00090423" w:rsidRPr="000F12B9" w:rsidRDefault="00B923E6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284 474,75</w:t>
            </w:r>
          </w:p>
        </w:tc>
      </w:tr>
      <w:tr w:rsidR="00090423" w:rsidRPr="000F12B9" w14:paraId="4E7BFB46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5AAC" w14:textId="5F1C823E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="00D0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/ПОСТУПЛЕНИЯ: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334D" w14:textId="76D15493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015E" w14:textId="50B7603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384F" w14:textId="1C30F82A" w:rsidR="00090423" w:rsidRPr="000F12B9" w:rsidRDefault="00090423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23" w:rsidRPr="000F12B9" w14:paraId="658CF278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9EB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EC94" w14:textId="5601CD1A" w:rsidR="00090423" w:rsidRPr="000F12B9" w:rsidRDefault="00B761D1" w:rsidP="0089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4 721,65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9F84" w14:textId="5AAA2065" w:rsidR="00396F64" w:rsidRPr="00035CFA" w:rsidRDefault="00396F64" w:rsidP="00396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4 721, 65</w:t>
            </w:r>
          </w:p>
          <w:p w14:paraId="7F3FC267" w14:textId="3690D574" w:rsidR="00090423" w:rsidRPr="00035CFA" w:rsidRDefault="00090423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E50D" w14:textId="5FAD7DCE" w:rsidR="00090423" w:rsidRPr="001C4811" w:rsidRDefault="00396F64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D04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721,65</w:t>
            </w:r>
          </w:p>
        </w:tc>
      </w:tr>
      <w:tr w:rsidR="00090423" w:rsidRPr="000F12B9" w14:paraId="66202F0D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E21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ФСМС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BB1E" w14:textId="1D12D0F2" w:rsidR="00090423" w:rsidRPr="000F12B9" w:rsidRDefault="0023633E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</w:t>
            </w:r>
            <w:r w:rsidR="00B7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B7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B7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92E1" w14:textId="5DB6DF44" w:rsidR="00396F64" w:rsidRPr="00035CFA" w:rsidRDefault="00396F64" w:rsidP="00396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1 551 220, 88</w:t>
            </w:r>
          </w:p>
          <w:p w14:paraId="4D98517A" w14:textId="19BE19BE" w:rsidR="00090423" w:rsidRPr="00035CFA" w:rsidRDefault="00090423" w:rsidP="00396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9E84" w14:textId="3E9A451F" w:rsidR="00090423" w:rsidRPr="00C76EFF" w:rsidRDefault="00A6216B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04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561 676,12</w:t>
            </w:r>
          </w:p>
        </w:tc>
      </w:tr>
      <w:tr w:rsidR="00090423" w:rsidRPr="000F12B9" w14:paraId="654D9CCD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04A6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48F8" w14:textId="7E0C1623" w:rsidR="00090423" w:rsidRPr="000F12B9" w:rsidRDefault="00B761D1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14 500</w:t>
            </w:r>
            <w:r w:rsidR="00892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6FC4" w14:textId="7A88D419" w:rsidR="00CD5B86" w:rsidRPr="00035CFA" w:rsidRDefault="00CD5B86" w:rsidP="00CD5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16 611, 47</w:t>
            </w:r>
          </w:p>
          <w:p w14:paraId="0B6924E5" w14:textId="163888A1" w:rsidR="00090423" w:rsidRPr="00035CFA" w:rsidRDefault="00090423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0DA7" w14:textId="6C924F5D" w:rsidR="00090423" w:rsidRPr="001C4811" w:rsidRDefault="00D7789D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16 195,88</w:t>
            </w:r>
          </w:p>
        </w:tc>
      </w:tr>
      <w:tr w:rsidR="0016141A" w:rsidRPr="000F12B9" w14:paraId="02F29543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D87A" w14:textId="073FE364" w:rsidR="0016141A" w:rsidRPr="0016141A" w:rsidRDefault="0016141A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Прочие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99C8" w14:textId="023A60F4" w:rsidR="0016141A" w:rsidRPr="000F12B9" w:rsidRDefault="00B761D1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19 003,50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323D" w14:textId="63DA7283" w:rsidR="00CD5B86" w:rsidRPr="00035CFA" w:rsidRDefault="00CD5B86" w:rsidP="00CD5B8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15 791, 85</w:t>
            </w:r>
          </w:p>
          <w:p w14:paraId="0C0A8937" w14:textId="77777777" w:rsidR="0016141A" w:rsidRPr="00035CFA" w:rsidRDefault="0016141A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CAB1" w14:textId="3D878061" w:rsidR="0016141A" w:rsidRDefault="00051A3F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1,77</w:t>
            </w:r>
          </w:p>
        </w:tc>
      </w:tr>
      <w:tr w:rsidR="00090423" w:rsidRPr="000F12B9" w14:paraId="5B247421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5C35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4122" w14:textId="0DE2DE06" w:rsidR="00090423" w:rsidRPr="000F12B9" w:rsidRDefault="0023633E" w:rsidP="001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1 </w:t>
            </w:r>
            <w:r w:rsidR="00B7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579 951,17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9423" w14:textId="2AAB8B4A" w:rsidR="00090423" w:rsidRPr="00F7015F" w:rsidRDefault="00CD5B86" w:rsidP="0015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1  588 345,85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D3F0" w14:textId="536C3CBB" w:rsidR="00090423" w:rsidRPr="00051A3F" w:rsidRDefault="00CD5B86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B7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583 011,01</w:t>
            </w:r>
          </w:p>
        </w:tc>
      </w:tr>
      <w:tr w:rsidR="00090423" w:rsidRPr="000F12B9" w14:paraId="09195E3B" w14:textId="77777777" w:rsidTr="00396F64">
        <w:trPr>
          <w:trHeight w:val="320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FCF1" w14:textId="6C83A5B0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="00D0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/ВЫБЫТИЯ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730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C132" w14:textId="3F5A8A7B" w:rsidR="00090423" w:rsidRPr="000F12B9" w:rsidRDefault="00090423" w:rsidP="007B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423" w:rsidRPr="000F12B9" w14:paraId="4A188F72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A05A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фонду оплаты труда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68E6" w14:textId="4D904C61" w:rsidR="00090423" w:rsidRPr="000F12B9" w:rsidRDefault="004142BD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936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724,21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0EFA" w14:textId="0539FDA7" w:rsidR="00090423" w:rsidRPr="00035CFA" w:rsidRDefault="004142BD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936 724,21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7B57" w14:textId="1AEF5CFE" w:rsidR="00090423" w:rsidRPr="002B0F56" w:rsidRDefault="000E1CF5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E1C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775,97</w:t>
            </w:r>
          </w:p>
        </w:tc>
      </w:tr>
      <w:tr w:rsidR="00B61570" w:rsidRPr="000F12B9" w14:paraId="01E2437D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5591" w14:textId="2C5A7FC0" w:rsidR="00B61570" w:rsidRPr="000F12B9" w:rsidRDefault="00976536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вознаграждения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5212" w14:textId="77777777" w:rsidR="00B61570" w:rsidRDefault="00B6157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77CC" w14:textId="77777777" w:rsidR="00B61570" w:rsidRPr="00035CFA" w:rsidRDefault="00B6157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AAB3" w14:textId="0267A5B4" w:rsidR="00B61570" w:rsidRDefault="000E1CF5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5443,73</w:t>
            </w:r>
          </w:p>
        </w:tc>
      </w:tr>
      <w:tr w:rsidR="00976536" w:rsidRPr="000F12B9" w14:paraId="7A51C05F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BF07" w14:textId="77777777" w:rsidR="00976536" w:rsidRDefault="00976536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2E08" w14:textId="77777777" w:rsidR="00976536" w:rsidRDefault="0097653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D57B" w14:textId="77777777" w:rsidR="00976536" w:rsidRPr="00035CFA" w:rsidRDefault="0097653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ACD" w14:textId="52CD22CA" w:rsidR="00976536" w:rsidRDefault="00012022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20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4220,35</w:t>
            </w:r>
          </w:p>
        </w:tc>
      </w:tr>
      <w:tr w:rsidR="00090423" w:rsidRPr="000F12B9" w14:paraId="2D28CC4A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F643" w14:textId="3B938269" w:rsidR="00090423" w:rsidRPr="002B0F56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Соц.налог и соц.отчисления</w:t>
            </w:r>
            <w:r w:rsidR="002B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="002B0F56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ОСМС</w:t>
            </w:r>
            <w:r w:rsidR="002B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2B0F56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(Обязательные социальные медицинские отчисления)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26C1" w14:textId="33CF00A7" w:rsidR="00090423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108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454,83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9FB8" w14:textId="1D61914B" w:rsidR="00090423" w:rsidRPr="00035CFA" w:rsidRDefault="00D525A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103 318,88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1502" w14:textId="423F715D" w:rsidR="00090423" w:rsidRPr="002B0F56" w:rsidRDefault="007A68BE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102 049,41</w:t>
            </w:r>
          </w:p>
        </w:tc>
      </w:tr>
      <w:tr w:rsidR="00090423" w:rsidRPr="000F12B9" w14:paraId="631CE5A5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DB6B" w14:textId="0386683F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имущество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транспорт)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48E0" w14:textId="2758D139" w:rsidR="00090423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777, 58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8B46" w14:textId="4B2D1741" w:rsidR="00090423" w:rsidRPr="00035CFA" w:rsidRDefault="00D525A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598,42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C45D" w14:textId="5E0655CF" w:rsidR="00090423" w:rsidRPr="002D4F45" w:rsidRDefault="007A68BE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468,27</w:t>
            </w:r>
          </w:p>
        </w:tc>
      </w:tr>
      <w:tr w:rsidR="00090423" w:rsidRPr="000F12B9" w14:paraId="6C60A011" w14:textId="77777777" w:rsidTr="00396F64">
        <w:trPr>
          <w:gridAfter w:val="1"/>
          <w:wAfter w:w="7" w:type="dxa"/>
          <w:trHeight w:val="609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DE2E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на обязательное страхование работников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727D" w14:textId="155F4749" w:rsidR="00090423" w:rsidRPr="000F12B9" w:rsidRDefault="005471D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8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3B58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600,00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EED7" w14:textId="3FD52C2C" w:rsidR="00090423" w:rsidRPr="006373FB" w:rsidRDefault="00961833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3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1679,75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883E" w14:textId="0B6E0A75" w:rsidR="00090423" w:rsidRPr="006373FB" w:rsidRDefault="004B0957" w:rsidP="004B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6373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-</w:t>
            </w:r>
          </w:p>
        </w:tc>
      </w:tr>
      <w:tr w:rsidR="00090423" w:rsidRPr="000F12B9" w14:paraId="0FA4EE71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9B98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F3F5" w14:textId="033E6B41" w:rsidR="00090423" w:rsidRPr="000F12B9" w:rsidRDefault="00B31777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411,78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BA66" w14:textId="4184E185" w:rsidR="00090423" w:rsidRPr="000F12B9" w:rsidRDefault="00035CFA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8 366,86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9DF8" w14:textId="41979004" w:rsidR="002D4F45" w:rsidRPr="002D4F45" w:rsidRDefault="00BD1201" w:rsidP="002D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6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7884,27</w:t>
            </w:r>
          </w:p>
        </w:tc>
      </w:tr>
      <w:tr w:rsidR="00090423" w:rsidRPr="000F12B9" w14:paraId="6D88F337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1322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CE06" w14:textId="0CA544C7" w:rsidR="00090423" w:rsidRPr="000F12B9" w:rsidRDefault="007560A7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B5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516,08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B1BE" w14:textId="3D65A222" w:rsidR="00090423" w:rsidRPr="00035CFA" w:rsidRDefault="00035CFA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1 329,77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FB6" w14:textId="1701273A" w:rsidR="00090423" w:rsidRPr="002D4F45" w:rsidRDefault="00BD1201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6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1336,82</w:t>
            </w:r>
          </w:p>
        </w:tc>
      </w:tr>
      <w:tr w:rsidR="00090423" w:rsidRPr="000F12B9" w14:paraId="2548C477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669D" w14:textId="19F229A8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Приобретения медикаментов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ИМН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6295" w14:textId="3B4C478F" w:rsidR="00090423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687,39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EE42" w14:textId="7776DE01" w:rsidR="00090423" w:rsidRPr="00035CFA" w:rsidRDefault="00035CFA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</w:t>
            </w:r>
            <w:r w:rsidR="003D03F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347,73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4D4" w14:textId="1457C138" w:rsidR="00090423" w:rsidRPr="002D4F45" w:rsidRDefault="0065313A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46875,46</w:t>
            </w:r>
          </w:p>
        </w:tc>
      </w:tr>
      <w:tr w:rsidR="00090423" w:rsidRPr="000F12B9" w14:paraId="508A4B6F" w14:textId="77777777" w:rsidTr="00396F64">
        <w:trPr>
          <w:gridAfter w:val="1"/>
          <w:wAfter w:w="7" w:type="dxa"/>
          <w:trHeight w:val="609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CEFC" w14:textId="5E7F1EC4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Приобретения основных средств и прочего оборудования</w:t>
            </w:r>
            <w:r w:rsidR="00035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/амортизация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9DDF" w14:textId="78620B6F" w:rsidR="00090423" w:rsidRPr="000F12B9" w:rsidRDefault="00035CFA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458,69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4575" w14:textId="70914CE0" w:rsidR="00090423" w:rsidRPr="00035CFA" w:rsidRDefault="00035CFA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31 419,67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845A" w14:textId="059C3EA4" w:rsidR="00090423" w:rsidRPr="002D4F45" w:rsidRDefault="00035CFA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15 244,0</w:t>
            </w:r>
            <w:r w:rsidR="006531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090423" w:rsidRPr="000F12B9" w14:paraId="5308B4CA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B9E3" w14:textId="29285B7B" w:rsidR="00090423" w:rsidRPr="000F12B9" w:rsidRDefault="00FB47F8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</w:t>
            </w:r>
            <w:r w:rsidR="00090423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2E21" w14:textId="645D91B7" w:rsidR="00090423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713,97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7AB5" w14:textId="320A069D" w:rsidR="00090423" w:rsidRPr="00035CFA" w:rsidRDefault="00D525A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9 329,79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5FF9" w14:textId="32A29014" w:rsidR="00090423" w:rsidRPr="002D4F45" w:rsidRDefault="00617484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31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12 713,97</w:t>
            </w:r>
          </w:p>
        </w:tc>
      </w:tr>
      <w:tr w:rsidR="002D4F45" w:rsidRPr="000F12B9" w14:paraId="4F6C4193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52A6" w14:textId="0AECF0FF" w:rsidR="002D4F45" w:rsidRPr="002D4F45" w:rsidRDefault="002D4F45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Детское питание ФКУ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9959" w14:textId="74AC0500" w:rsidR="002D4F45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656,94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CC84" w14:textId="2FCDC0D8" w:rsidR="002D4F45" w:rsidRPr="00035CFA" w:rsidRDefault="00E13AEF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D525AB" w:rsidRPr="00035C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7 656,94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AE10" w14:textId="2E6A1DBB" w:rsidR="002D4F45" w:rsidRDefault="00617484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31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49 416,50</w:t>
            </w:r>
          </w:p>
        </w:tc>
      </w:tr>
      <w:tr w:rsidR="00090423" w:rsidRPr="000F12B9" w14:paraId="79425714" w14:textId="77777777" w:rsidTr="00396F64">
        <w:trPr>
          <w:gridAfter w:val="1"/>
          <w:wAfter w:w="7" w:type="dxa"/>
          <w:trHeight w:val="609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815A" w14:textId="51F8D703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хозяйственных товаров и инвентаря</w:t>
            </w:r>
            <w:r w:rsidR="00E1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гсм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169D" w14:textId="0648C3F2" w:rsidR="00090423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022,77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525C" w14:textId="262FCCDE" w:rsidR="00090423" w:rsidRPr="00035CFA" w:rsidRDefault="00E13AEF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  <w:r w:rsidR="003D03F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559,95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7EA4" w14:textId="10A1C1DD" w:rsidR="00090423" w:rsidRPr="002D4F45" w:rsidRDefault="0065313A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13 922,09</w:t>
            </w:r>
          </w:p>
        </w:tc>
      </w:tr>
      <w:tr w:rsidR="00090423" w:rsidRPr="000F12B9" w14:paraId="04EB7E51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A410" w14:textId="13FA9814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персонал</w:t>
            </w:r>
            <w:r w:rsidR="0063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AEC9" w14:textId="4F52E9AE" w:rsidR="00090423" w:rsidRPr="000F12B9" w:rsidRDefault="00253D2D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58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2 580,00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3EF8" w14:textId="12D327E9" w:rsidR="00090423" w:rsidRPr="00D525AB" w:rsidRDefault="00961833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F41" w14:textId="52B81B97" w:rsidR="00090423" w:rsidRPr="00D525AB" w:rsidRDefault="002542EF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2542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4164,18</w:t>
            </w:r>
          </w:p>
        </w:tc>
      </w:tr>
      <w:tr w:rsidR="00090423" w:rsidRPr="000F12B9" w14:paraId="2339FB8E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AAC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E3AA" w14:textId="3091C09B" w:rsidR="00090423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281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031,08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CF04" w14:textId="50283203" w:rsidR="00090423" w:rsidRPr="000F12B9" w:rsidRDefault="00D525A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282 820,48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B9A0" w14:textId="13AE6203" w:rsidR="00090423" w:rsidRPr="00CC610C" w:rsidRDefault="00CC610C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291451.40</w:t>
            </w:r>
          </w:p>
        </w:tc>
      </w:tr>
      <w:tr w:rsidR="00090423" w:rsidRPr="000F12B9" w14:paraId="4B7F55B7" w14:textId="77777777" w:rsidTr="00396F64">
        <w:trPr>
          <w:gridAfter w:val="1"/>
          <w:wAfter w:w="7" w:type="dxa"/>
          <w:trHeight w:val="2316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348E" w14:textId="1850AA1C" w:rsidR="00FB47F8" w:rsidRPr="000F12B9" w:rsidRDefault="00090423" w:rsidP="00FB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Прочие услуги и работы (тех.ремонт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едоборудования,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автотранспортные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дератизация и дезинфекция, охрана объекта,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аудиторские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стирки,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систем отопления, интернет, вывоз мусора</w:t>
            </w:r>
            <w:r w:rsidR="00CA5C52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 автоуслуги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E761" w14:textId="6296BBCB" w:rsidR="00090423" w:rsidRPr="000F12B9" w:rsidRDefault="003B580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433,</w:t>
            </w:r>
            <w:r w:rsidR="00B218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4C23" w14:textId="5FE19FC6" w:rsidR="00090423" w:rsidRPr="000F12B9" w:rsidRDefault="006373FB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40 997,42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814D" w14:textId="46903491" w:rsidR="00090423" w:rsidRPr="00701F23" w:rsidRDefault="00701F23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40 7778,24</w:t>
            </w:r>
          </w:p>
        </w:tc>
      </w:tr>
      <w:tr w:rsidR="00375962" w:rsidRPr="000F12B9" w14:paraId="0A73AEBC" w14:textId="77777777" w:rsidTr="00375962">
        <w:trPr>
          <w:gridAfter w:val="1"/>
          <w:wAfter w:w="7" w:type="dxa"/>
          <w:trHeight w:val="595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5D0D" w14:textId="48B269E1" w:rsidR="00375962" w:rsidRPr="000F12B9" w:rsidRDefault="006E4387" w:rsidP="00FB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</w:t>
            </w:r>
            <w:r w:rsidR="00B61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ндировочные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9E2F" w14:textId="77777777" w:rsidR="00375962" w:rsidRDefault="0037596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181D" w14:textId="77777777" w:rsidR="00375962" w:rsidRDefault="0037596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DC5D" w14:textId="4DFF3E52" w:rsidR="00375962" w:rsidRDefault="00B61570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85,34</w:t>
            </w:r>
          </w:p>
        </w:tc>
      </w:tr>
      <w:tr w:rsidR="00E13AEF" w:rsidRPr="000F12B9" w14:paraId="0AD15705" w14:textId="77777777" w:rsidTr="00E13AEF">
        <w:trPr>
          <w:gridAfter w:val="1"/>
          <w:wAfter w:w="7" w:type="dxa"/>
          <w:trHeight w:val="325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F5E0" w14:textId="42719A63" w:rsidR="00E13AEF" w:rsidRPr="000F12B9" w:rsidRDefault="00E13AEF" w:rsidP="00FB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F43" w14:textId="77777777" w:rsidR="00E13AEF" w:rsidRDefault="00E13AEF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993F" w14:textId="1EADF22A" w:rsidR="00E13AEF" w:rsidRDefault="00E13AEF" w:rsidP="00E13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F0A9" w14:textId="77777777" w:rsidR="00E13AEF" w:rsidRDefault="00E13AEF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0423" w:rsidRPr="000F12B9" w14:paraId="7A96A09C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3926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67AF" w14:textId="0A6160CD" w:rsidR="00090423" w:rsidRPr="000F12B9" w:rsidRDefault="003B580B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B21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568</w:t>
            </w:r>
            <w:r w:rsidR="00B21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068,49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683B" w14:textId="75FAFA24" w:rsidR="00090423" w:rsidRPr="00961833" w:rsidRDefault="00035CFA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6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1 538 192,19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A076" w14:textId="61B84BE8" w:rsidR="00090423" w:rsidRPr="00F770D6" w:rsidRDefault="00701F23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1 527 830,06</w:t>
            </w:r>
          </w:p>
        </w:tc>
      </w:tr>
      <w:tr w:rsidR="00432634" w:rsidRPr="000F12B9" w14:paraId="2FA008AA" w14:textId="77777777" w:rsidTr="00396F64">
        <w:trPr>
          <w:gridAfter w:val="1"/>
          <w:wAfter w:w="7" w:type="dxa"/>
          <w:trHeight w:val="304"/>
        </w:trPr>
        <w:tc>
          <w:tcPr>
            <w:tcW w:w="419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5E80" w14:textId="5FFDE3DE" w:rsidR="00432634" w:rsidRPr="000F12B9" w:rsidRDefault="00432634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 на конец отчетного периода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D5E" w14:textId="54CB5397" w:rsidR="00432634" w:rsidRDefault="003B580B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  <w:r w:rsidR="00B21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882,68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2F5" w14:textId="2A993FEA" w:rsidR="00432634" w:rsidRPr="00961833" w:rsidRDefault="0096183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6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50 153,66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C99B" w14:textId="510115E4" w:rsidR="00432634" w:rsidRDefault="00CD5B86" w:rsidP="0055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339 655,7</w:t>
            </w:r>
          </w:p>
        </w:tc>
      </w:tr>
    </w:tbl>
    <w:p w14:paraId="7F9C8764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</w:p>
    <w:p w14:paraId="4D09B544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Пояснительная записка</w:t>
      </w:r>
    </w:p>
    <w:p w14:paraId="087BE0FA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1372802F" w14:textId="59E0C683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 отчету «О доходах и расходах за 202</w:t>
      </w:r>
      <w:r w:rsidR="006569C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год»</w:t>
      </w:r>
    </w:p>
    <w:p w14:paraId="2AAC48B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E6F674F" w14:textId="06DEC2D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ГКП на ПХВ «Городская поликлиника №</w:t>
      </w:r>
      <w:r w:rsidR="0084581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» УЗ г.Алматы</w:t>
      </w:r>
    </w:p>
    <w:p w14:paraId="02DB03B7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72A37EF" w14:textId="0E91C5C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г.Алматы</w:t>
      </w:r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 </w:t>
      </w:r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п.Кокжиек, 66</w:t>
      </w:r>
    </w:p>
    <w:p w14:paraId="19B08500" w14:textId="753B5BE1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23EB0BD2" w14:textId="4707B8F7" w:rsidR="00090423" w:rsidRPr="000F12B9" w:rsidRDefault="00090423" w:rsidP="00B21810">
      <w:pPr>
        <w:shd w:val="clear" w:color="auto" w:fill="FFFFFF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I.</w:t>
      </w:r>
      <w:r w:rsidR="00031BEC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Доходы </w:t>
      </w:r>
      <w:r w:rsidR="0035421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за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35421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 состав</w:t>
      </w:r>
      <w:r w:rsidR="00B218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или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r w:rsidR="00B21810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1 588 345,85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тенге, из них:</w:t>
      </w:r>
    </w:p>
    <w:p w14:paraId="7BA3ABF2" w14:textId="4A9846BB" w:rsidR="00090423" w:rsidRDefault="00090423" w:rsidP="00B2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- </w:t>
      </w:r>
      <w:r w:rsidR="00B218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 финансирования НАО ФСМС в рамках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государственн</w:t>
      </w:r>
      <w:r w:rsidR="00B218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ого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заказ</w:t>
      </w:r>
      <w:r w:rsidR="00B218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из Республиканского бюджета </w:t>
      </w:r>
      <w:r w:rsidR="00B218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1551 220,87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тыс.тенге</w:t>
      </w:r>
      <w:r w:rsidR="00B218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;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</w:p>
    <w:p w14:paraId="675B5B50" w14:textId="25679C23" w:rsidR="00B21810" w:rsidRPr="000F12B9" w:rsidRDefault="00B21810" w:rsidP="00B2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от финансирования УОЗ г.Алматы – 4721,65 тыс.тенге;</w:t>
      </w:r>
    </w:p>
    <w:p w14:paraId="510855DA" w14:textId="549B91EA" w:rsidR="00090423" w:rsidRDefault="00090423" w:rsidP="00B2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доходы от оказани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я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платных услуг </w:t>
      </w:r>
      <w:r w:rsidR="00B218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16 611,47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B228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D961688" w14:textId="1A9E53F6" w:rsidR="00B2287C" w:rsidRPr="000F12B9" w:rsidRDefault="00B2287C" w:rsidP="00B2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- прочие доходы– </w:t>
      </w:r>
      <w:r w:rsid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15 791,86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тыс.тенге.</w:t>
      </w:r>
    </w:p>
    <w:p w14:paraId="47D27E9C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42D38C68" w14:textId="45FC96E9" w:rsidR="00347557" w:rsidRPr="000F12B9" w:rsidRDefault="00090423" w:rsidP="000F12B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II.</w:t>
      </w:r>
      <w:r w:rsidR="00031BEC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Расходы </w:t>
      </w:r>
      <w:r w:rsidR="00EC2A31" w:rsidRPr="00EC2A31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за 2022 год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</w:t>
      </w:r>
      <w:r w:rsid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или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r w:rsidR="00031BEC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1 538 192,19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</w:p>
    <w:p w14:paraId="05DE0BF3" w14:textId="78C2A41C" w:rsidR="00090423" w:rsidRPr="00031BEC" w:rsidRDefault="00090423" w:rsidP="00DC11B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фонду оплаты труда на содержание </w:t>
      </w:r>
      <w:r w:rsidR="00347557"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="001549B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68</w:t>
      </w:r>
      <w:r w:rsidR="00B126F7"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,0</w:t>
      </w:r>
      <w:r w:rsidR="00347557"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штатных единиц</w:t>
      </w:r>
      <w:r w:rsidR="00031BEC"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составили </w:t>
      </w:r>
      <w:r w:rsidR="00031BEC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936 724,21</w:t>
      </w:r>
      <w:r w:rsidR="00031BEC"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 w:rsidR="00347557"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031BEC"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при этом, </w:t>
      </w:r>
      <w:r w:rsid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</w:t>
      </w:r>
      <w:r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редняя заработная плата врачей состав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ила</w:t>
      </w:r>
      <w:r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441 271</w:t>
      </w:r>
      <w:r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средняя заработная плата среднего медицинского персонала </w:t>
      </w:r>
      <w:r w:rsidRP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составляет </w:t>
      </w:r>
      <w:r w:rsidR="00D74005" w:rsidRP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26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</w:t>
      </w:r>
      <w:r w:rsidR="00D74005" w:rsidRP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114</w:t>
      </w:r>
      <w:r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младшего медицинского персонала 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144 819</w:t>
      </w:r>
      <w:r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прочего персонала 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299 183</w:t>
      </w:r>
      <w:r w:rsidRPr="00031BE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тенге. </w:t>
      </w:r>
    </w:p>
    <w:p w14:paraId="327D2A8B" w14:textId="680BA006" w:rsidR="00090423" w:rsidRPr="00202E18" w:rsidRDefault="00090423" w:rsidP="00202E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Социальный налог и социальные отчисления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</w:t>
      </w:r>
      <w:r w:rsidR="00202E18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бязательные социальные медицинские страхования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составляют </w:t>
      </w:r>
      <w:r w:rsidR="00031BEC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103 318,88</w:t>
      </w:r>
      <w:r w:rsidRPr="00202E18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347557"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105020" w14:textId="5652681A" w:rsidR="00347557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</w:t>
      </w:r>
      <w:r w:rsidR="00163AC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сборы </w:t>
      </w:r>
      <w:r w:rsidR="00031BEC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598,42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 из них: </w:t>
      </w:r>
    </w:p>
    <w:p w14:paraId="1919E2E3" w14:textId="36F788E4" w:rsidR="006E0664" w:rsidRPr="000F12B9" w:rsidRDefault="00347557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Земельный налог 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163AC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7,2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</w:t>
      </w:r>
    </w:p>
    <w:p w14:paraId="276CDFD5" w14:textId="61A67EB4" w:rsidR="006E0664" w:rsidRPr="000F12B9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Налог на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имущество 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163AC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480,56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</w:t>
      </w:r>
    </w:p>
    <w:p w14:paraId="53E5B94A" w14:textId="06F2DB46" w:rsidR="00090423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Эмиссия окружающей среды – </w:t>
      </w:r>
      <w:r w:rsidR="00163AC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14,99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</w:t>
      </w:r>
    </w:p>
    <w:p w14:paraId="7A5C2114" w14:textId="23953B16" w:rsidR="00163ACE" w:rsidRDefault="00163ACE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 на транспорт – 26,75 тыс.тенге;</w:t>
      </w:r>
    </w:p>
    <w:p w14:paraId="2F0892E2" w14:textId="6FF2525E" w:rsidR="00163ACE" w:rsidRPr="000F12B9" w:rsidRDefault="00163ACE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Лицензионный сбор – 68,92 тыс.тенге</w:t>
      </w:r>
    </w:p>
    <w:p w14:paraId="3664DB93" w14:textId="77442ADA" w:rsidR="006E0664" w:rsidRPr="0056135A" w:rsidRDefault="00090423" w:rsidP="005613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Коммунальные расходы 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– </w:t>
      </w:r>
      <w:r w:rsidR="00163ACE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8366,86</w:t>
      </w:r>
      <w:r w:rsidR="00163AC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 из них:</w:t>
      </w:r>
    </w:p>
    <w:p w14:paraId="4DDA63D3" w14:textId="60A0351A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Э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лектроэнерги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я – </w:t>
      </w:r>
      <w:r w:rsidR="005644F6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3158,18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A080EB7" w14:textId="5A0B1A78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олодн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ая вода и канализация – </w:t>
      </w:r>
      <w:r w:rsidR="005644F6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640,31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3ABE97C" w14:textId="2A50F178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Отопление,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горячей и химической воде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5644F6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4568,37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тыс.тенге.</w:t>
      </w:r>
    </w:p>
    <w:p w14:paraId="696D9358" w14:textId="6E2CA4D2" w:rsidR="006E0664" w:rsidRPr="000F12B9" w:rsidRDefault="006E0664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>Услуги связи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в том числе интернет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 – 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1329,77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тыс.тенге,</w:t>
      </w:r>
    </w:p>
    <w:p w14:paraId="00ED8671" w14:textId="5F19CF94" w:rsidR="002B4B4A" w:rsidRDefault="00090423" w:rsidP="00387A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 на приобретение медикаментов</w:t>
      </w:r>
      <w:r w:rsidR="002B4B4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 изделий медицинского назначения состав</w:t>
      </w:r>
      <w:r w:rsidR="005508E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ило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67 347,73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тенге.</w:t>
      </w:r>
    </w:p>
    <w:p w14:paraId="11FB6678" w14:textId="321BCBA3" w:rsidR="00090423" w:rsidRDefault="002B4B4A" w:rsidP="00387A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Приобретение детского питания – 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9 329,79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</w:t>
      </w:r>
    </w:p>
    <w:p w14:paraId="3E1083AD" w14:textId="3EE46E45" w:rsidR="002B4B4A" w:rsidRPr="000F12B9" w:rsidRDefault="002B4B4A" w:rsidP="00387A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детского питания о</w:t>
      </w:r>
      <w:r w:rsidRPr="002B4B4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беспечение лечебными низкобелковыми содержащие фенилаланин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37 656,94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тыс.тенге, </w:t>
      </w:r>
    </w:p>
    <w:p w14:paraId="234D54FA" w14:textId="7D73180B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хоз. товаров   и инвентаря состав</w:t>
      </w:r>
      <w:r w:rsidR="005508E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ило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12 559,95</w:t>
      </w:r>
      <w:r w:rsidR="005508E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 </w:t>
      </w:r>
      <w:r w:rsidR="00FB79A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дезинфицирующие средства,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канцелярские товары,  моющие средства, запасные части для оргтехники, хоз</w:t>
      </w:r>
      <w:r w:rsidR="005508E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инвентарь для нужд отделений</w:t>
      </w:r>
      <w:r w:rsidR="005508E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гсм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)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D89DA44" w14:textId="4454F438" w:rsidR="00090423" w:rsidRPr="000F12B9" w:rsidRDefault="005508EB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клинико-диагностически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м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ам, по договорам со исполнения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израсходовано </w:t>
      </w:r>
      <w:r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282 820,48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тыс.тенге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5C87471B" w14:textId="38B05798" w:rsidR="00090423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Прочие услуги и работы </w:t>
      </w:r>
      <w:r w:rsidR="005508E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сложились на уровне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val="kk-KZ" w:eastAsia="ru-RU"/>
        </w:rPr>
        <w:t>4</w:t>
      </w:r>
      <w:r w:rsid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val="kk-KZ" w:eastAsia="ru-RU"/>
        </w:rPr>
        <w:t>6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val="kk-KZ" w:eastAsia="ru-RU"/>
        </w:rPr>
        <w:t> </w:t>
      </w:r>
      <w:r w:rsid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val="kk-KZ" w:eastAsia="ru-RU"/>
        </w:rPr>
        <w:t>256</w:t>
      </w:r>
      <w:r w:rsidR="005508EB"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val="kk-KZ" w:eastAsia="ru-RU"/>
        </w:rPr>
        <w:t>,</w:t>
      </w:r>
      <w:r w:rsid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val="kk-KZ" w:eastAsia="ru-RU"/>
        </w:rPr>
        <w:t>35</w:t>
      </w:r>
      <w:r w:rsidR="005508EB"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в.т.ч.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тех.ремонт, автотранспортные услуги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дератизация и дезинфекция, охрана объекта, обслуживание систем отопления, интернет,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сигнализация объектов, сопровождение информационных программ</w:t>
      </w:r>
      <w:r w:rsidR="005508EB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утилизация, вывоз мусора</w:t>
      </w:r>
      <w:r w:rsidR="003D03F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обучение, обязательное страхование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 т.д.   </w:t>
      </w:r>
    </w:p>
    <w:p w14:paraId="601D29A0" w14:textId="556861DF" w:rsidR="003D03F8" w:rsidRDefault="003D03F8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Амортизация основных средств и нематериальных активов – </w:t>
      </w:r>
      <w:r w:rsidRPr="009A0213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31419,67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тыс.тенге.</w:t>
      </w:r>
    </w:p>
    <w:p w14:paraId="4FE82D22" w14:textId="211AF11B" w:rsidR="003D03F8" w:rsidRDefault="003D03F8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Прочие расходы – </w:t>
      </w:r>
      <w:r w:rsidRPr="003D03F8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463,14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</w:p>
    <w:p w14:paraId="537B472C" w14:textId="3B664EBB" w:rsidR="005B5228" w:rsidRDefault="005B5228" w:rsidP="005B52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5EE73D6A" w14:textId="4A231352" w:rsidR="005B5228" w:rsidRPr="000F12B9" w:rsidRDefault="005B5228" w:rsidP="005B52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Остаток денежных средств на </w:t>
      </w:r>
      <w:r w:rsidR="00197F7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конец отчетного периода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5508EB" w:rsidRPr="009A0213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339 655,7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тыс.тенге</w:t>
      </w:r>
      <w:r w:rsidR="00470ED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1B9A27E0" w14:textId="7D51E4F5" w:rsidR="00DF43A3" w:rsidRDefault="00745C0B">
      <w:pPr>
        <w:rPr>
          <w:sz w:val="28"/>
          <w:szCs w:val="28"/>
        </w:rPr>
      </w:pPr>
    </w:p>
    <w:p w14:paraId="1889BE9A" w14:textId="7761CFD1" w:rsidR="00E138E6" w:rsidRPr="00E138E6" w:rsidRDefault="00E138E6" w:rsidP="00E138E6">
      <w:pPr>
        <w:rPr>
          <w:sz w:val="28"/>
          <w:szCs w:val="28"/>
        </w:rPr>
      </w:pPr>
    </w:p>
    <w:p w14:paraId="7E6E75C4" w14:textId="4AA69C92" w:rsid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8E6">
        <w:rPr>
          <w:rFonts w:ascii="Times New Roman" w:hAnsi="Times New Roman" w:cs="Times New Roman"/>
          <w:b/>
          <w:bCs/>
          <w:sz w:val="28"/>
          <w:szCs w:val="28"/>
        </w:rPr>
        <w:t>Главный врач                                                                  Кудабаев Е.Ш.</w:t>
      </w:r>
    </w:p>
    <w:p w14:paraId="74D17928" w14:textId="77777777" w:rsidR="00E138E6" w:rsidRP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6503" w14:textId="24FE1768" w:rsidR="00E138E6" w:rsidRPr="00E138E6" w:rsidRDefault="00E138E6" w:rsidP="00E138E6">
      <w:pPr>
        <w:rPr>
          <w:sz w:val="28"/>
          <w:szCs w:val="28"/>
        </w:rPr>
      </w:pPr>
    </w:p>
    <w:p w14:paraId="42D4B92A" w14:textId="75D04590" w:rsidR="00E138E6" w:rsidRPr="00E138E6" w:rsidRDefault="00E138E6" w:rsidP="00E138E6">
      <w:pPr>
        <w:rPr>
          <w:sz w:val="28"/>
          <w:szCs w:val="28"/>
        </w:rPr>
      </w:pPr>
    </w:p>
    <w:p w14:paraId="5209A630" w14:textId="57396976" w:rsidR="00E138E6" w:rsidRDefault="00E138E6" w:rsidP="00E138E6">
      <w:pPr>
        <w:rPr>
          <w:sz w:val="28"/>
          <w:szCs w:val="28"/>
        </w:rPr>
      </w:pPr>
    </w:p>
    <w:p w14:paraId="508FAE88" w14:textId="77777777" w:rsidR="00E138E6" w:rsidRPr="00E138E6" w:rsidRDefault="00E138E6" w:rsidP="00E138E6">
      <w:pPr>
        <w:rPr>
          <w:sz w:val="28"/>
          <w:szCs w:val="28"/>
        </w:rPr>
      </w:pPr>
    </w:p>
    <w:sectPr w:rsidR="00E138E6" w:rsidRPr="00E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6DE"/>
    <w:multiLevelType w:val="hybridMultilevel"/>
    <w:tmpl w:val="D7820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7ADC"/>
    <w:multiLevelType w:val="multilevel"/>
    <w:tmpl w:val="58E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8DB"/>
    <w:multiLevelType w:val="multilevel"/>
    <w:tmpl w:val="931AE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262F8"/>
    <w:multiLevelType w:val="multilevel"/>
    <w:tmpl w:val="33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D6C9D"/>
    <w:multiLevelType w:val="multilevel"/>
    <w:tmpl w:val="46DE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398E"/>
    <w:multiLevelType w:val="hybridMultilevel"/>
    <w:tmpl w:val="73866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5681F"/>
    <w:multiLevelType w:val="hybridMultilevel"/>
    <w:tmpl w:val="53E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7120"/>
    <w:multiLevelType w:val="hybridMultilevel"/>
    <w:tmpl w:val="7884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9"/>
    <w:rsid w:val="00012022"/>
    <w:rsid w:val="0001215F"/>
    <w:rsid w:val="00031BEC"/>
    <w:rsid w:val="00035CFA"/>
    <w:rsid w:val="00051A3F"/>
    <w:rsid w:val="0007328D"/>
    <w:rsid w:val="00090423"/>
    <w:rsid w:val="000E1CF5"/>
    <w:rsid w:val="000E292F"/>
    <w:rsid w:val="000E7444"/>
    <w:rsid w:val="000F12B9"/>
    <w:rsid w:val="000F76B5"/>
    <w:rsid w:val="001478B6"/>
    <w:rsid w:val="001526BC"/>
    <w:rsid w:val="001549B2"/>
    <w:rsid w:val="001553E9"/>
    <w:rsid w:val="001565D8"/>
    <w:rsid w:val="0016141A"/>
    <w:rsid w:val="00163ACE"/>
    <w:rsid w:val="00175A75"/>
    <w:rsid w:val="00197F78"/>
    <w:rsid w:val="001C4811"/>
    <w:rsid w:val="001F6F2F"/>
    <w:rsid w:val="00202E18"/>
    <w:rsid w:val="00226B38"/>
    <w:rsid w:val="0023633E"/>
    <w:rsid w:val="0024198B"/>
    <w:rsid w:val="00253D2D"/>
    <w:rsid w:val="002542EF"/>
    <w:rsid w:val="002A66D6"/>
    <w:rsid w:val="002B0F56"/>
    <w:rsid w:val="002B4B4A"/>
    <w:rsid w:val="002D4F45"/>
    <w:rsid w:val="002E6040"/>
    <w:rsid w:val="0032411C"/>
    <w:rsid w:val="003318BE"/>
    <w:rsid w:val="00331B11"/>
    <w:rsid w:val="00345C50"/>
    <w:rsid w:val="00347557"/>
    <w:rsid w:val="0035421D"/>
    <w:rsid w:val="00375962"/>
    <w:rsid w:val="00376227"/>
    <w:rsid w:val="00382D8F"/>
    <w:rsid w:val="00396F64"/>
    <w:rsid w:val="003A4B9F"/>
    <w:rsid w:val="003B580B"/>
    <w:rsid w:val="003D03F8"/>
    <w:rsid w:val="003F1688"/>
    <w:rsid w:val="00402CF2"/>
    <w:rsid w:val="004142BD"/>
    <w:rsid w:val="00432634"/>
    <w:rsid w:val="00441CB9"/>
    <w:rsid w:val="0045523F"/>
    <w:rsid w:val="004640EC"/>
    <w:rsid w:val="00470ED3"/>
    <w:rsid w:val="0049601D"/>
    <w:rsid w:val="004B0957"/>
    <w:rsid w:val="00506A96"/>
    <w:rsid w:val="00531927"/>
    <w:rsid w:val="005471DB"/>
    <w:rsid w:val="005508EB"/>
    <w:rsid w:val="00557498"/>
    <w:rsid w:val="00560509"/>
    <w:rsid w:val="0056135A"/>
    <w:rsid w:val="005644F6"/>
    <w:rsid w:val="00594BBE"/>
    <w:rsid w:val="00594D00"/>
    <w:rsid w:val="005A0C18"/>
    <w:rsid w:val="005A66BB"/>
    <w:rsid w:val="005B5228"/>
    <w:rsid w:val="00615350"/>
    <w:rsid w:val="00617484"/>
    <w:rsid w:val="006373FB"/>
    <w:rsid w:val="00647C76"/>
    <w:rsid w:val="0065313A"/>
    <w:rsid w:val="0065477E"/>
    <w:rsid w:val="00655940"/>
    <w:rsid w:val="006569C0"/>
    <w:rsid w:val="006913D1"/>
    <w:rsid w:val="006D5062"/>
    <w:rsid w:val="006E0664"/>
    <w:rsid w:val="006E4387"/>
    <w:rsid w:val="00701F23"/>
    <w:rsid w:val="007201F0"/>
    <w:rsid w:val="007362B2"/>
    <w:rsid w:val="00737307"/>
    <w:rsid w:val="007560A7"/>
    <w:rsid w:val="007603CC"/>
    <w:rsid w:val="00781D1B"/>
    <w:rsid w:val="007A5141"/>
    <w:rsid w:val="007A68BE"/>
    <w:rsid w:val="007B40D2"/>
    <w:rsid w:val="007C2FBF"/>
    <w:rsid w:val="007E2D6E"/>
    <w:rsid w:val="00812669"/>
    <w:rsid w:val="00840A43"/>
    <w:rsid w:val="00845817"/>
    <w:rsid w:val="00874067"/>
    <w:rsid w:val="0089241C"/>
    <w:rsid w:val="00893681"/>
    <w:rsid w:val="00911212"/>
    <w:rsid w:val="00961833"/>
    <w:rsid w:val="009746C5"/>
    <w:rsid w:val="00976536"/>
    <w:rsid w:val="009876AD"/>
    <w:rsid w:val="009A0213"/>
    <w:rsid w:val="009B5902"/>
    <w:rsid w:val="009E18D5"/>
    <w:rsid w:val="009E4D61"/>
    <w:rsid w:val="00A114EE"/>
    <w:rsid w:val="00A50B06"/>
    <w:rsid w:val="00A6216B"/>
    <w:rsid w:val="00A86D27"/>
    <w:rsid w:val="00AA3215"/>
    <w:rsid w:val="00AB369C"/>
    <w:rsid w:val="00AC2790"/>
    <w:rsid w:val="00AF13ED"/>
    <w:rsid w:val="00B126F7"/>
    <w:rsid w:val="00B16E55"/>
    <w:rsid w:val="00B21810"/>
    <w:rsid w:val="00B2287C"/>
    <w:rsid w:val="00B31777"/>
    <w:rsid w:val="00B61570"/>
    <w:rsid w:val="00B64448"/>
    <w:rsid w:val="00B74D3E"/>
    <w:rsid w:val="00B761D1"/>
    <w:rsid w:val="00B8635A"/>
    <w:rsid w:val="00B87948"/>
    <w:rsid w:val="00B923E6"/>
    <w:rsid w:val="00BB5602"/>
    <w:rsid w:val="00BD1201"/>
    <w:rsid w:val="00C04F2A"/>
    <w:rsid w:val="00C06FA2"/>
    <w:rsid w:val="00C202F3"/>
    <w:rsid w:val="00C25345"/>
    <w:rsid w:val="00C405DF"/>
    <w:rsid w:val="00C47D53"/>
    <w:rsid w:val="00C76EFF"/>
    <w:rsid w:val="00CA5C52"/>
    <w:rsid w:val="00CC610C"/>
    <w:rsid w:val="00CD5B86"/>
    <w:rsid w:val="00CD5E69"/>
    <w:rsid w:val="00CF46EA"/>
    <w:rsid w:val="00D04388"/>
    <w:rsid w:val="00D15C02"/>
    <w:rsid w:val="00D45BE9"/>
    <w:rsid w:val="00D50DF8"/>
    <w:rsid w:val="00D525AB"/>
    <w:rsid w:val="00D55ABC"/>
    <w:rsid w:val="00D70487"/>
    <w:rsid w:val="00D74005"/>
    <w:rsid w:val="00D7789D"/>
    <w:rsid w:val="00D83FDD"/>
    <w:rsid w:val="00DC6076"/>
    <w:rsid w:val="00DE35F1"/>
    <w:rsid w:val="00DE5481"/>
    <w:rsid w:val="00DF342F"/>
    <w:rsid w:val="00E132EA"/>
    <w:rsid w:val="00E138E6"/>
    <w:rsid w:val="00E13AEF"/>
    <w:rsid w:val="00E25654"/>
    <w:rsid w:val="00E410B6"/>
    <w:rsid w:val="00E52422"/>
    <w:rsid w:val="00E64263"/>
    <w:rsid w:val="00E80840"/>
    <w:rsid w:val="00E80A9C"/>
    <w:rsid w:val="00E91A46"/>
    <w:rsid w:val="00EC2A31"/>
    <w:rsid w:val="00EC6F88"/>
    <w:rsid w:val="00EE540F"/>
    <w:rsid w:val="00EF47C6"/>
    <w:rsid w:val="00F1693F"/>
    <w:rsid w:val="00F34BE2"/>
    <w:rsid w:val="00F7015F"/>
    <w:rsid w:val="00F770D6"/>
    <w:rsid w:val="00F87159"/>
    <w:rsid w:val="00FB47F8"/>
    <w:rsid w:val="00FB79A3"/>
    <w:rsid w:val="00FC7920"/>
    <w:rsid w:val="00FE4EAB"/>
    <w:rsid w:val="00FE5713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7DF"/>
  <w15:chartTrackingRefBased/>
  <w15:docId w15:val="{7C653794-1FE1-49BD-8F37-EFD56B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180</cp:revision>
  <cp:lastPrinted>2023-06-13T03:16:00Z</cp:lastPrinted>
  <dcterms:created xsi:type="dcterms:W3CDTF">2021-10-12T05:34:00Z</dcterms:created>
  <dcterms:modified xsi:type="dcterms:W3CDTF">2023-06-13T05:19:00Z</dcterms:modified>
</cp:coreProperties>
</file>